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4E" w:rsidRDefault="00052B4E" w:rsidP="00052B4E">
      <w:pPr>
        <w:rPr>
          <w:rFonts w:ascii="Arial" w:hAnsi="Arial" w:cs="Arial"/>
          <w:sz w:val="28"/>
          <w:szCs w:val="28"/>
        </w:rPr>
      </w:pPr>
    </w:p>
    <w:p w:rsidR="007D33BC" w:rsidRPr="007D33BC" w:rsidRDefault="007D33BC" w:rsidP="007D33BC">
      <w:pPr>
        <w:ind w:left="567"/>
        <w:jc w:val="center"/>
        <w:rPr>
          <w:rFonts w:ascii="Calibri" w:eastAsia="Calibri" w:hAnsi="Calibri" w:cs="Calibri"/>
          <w:sz w:val="144"/>
          <w:szCs w:val="144"/>
        </w:rPr>
      </w:pPr>
      <w:r w:rsidRPr="007D33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594803" wp14:editId="212C8989">
            <wp:simplePos x="0" y="0"/>
            <wp:positionH relativeFrom="margin">
              <wp:posOffset>1962150</wp:posOffset>
            </wp:positionH>
            <wp:positionV relativeFrom="paragraph">
              <wp:posOffset>179070</wp:posOffset>
            </wp:positionV>
            <wp:extent cx="6180455" cy="191706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3BC" w:rsidRPr="007D33BC" w:rsidRDefault="007D33BC" w:rsidP="007D33BC">
      <w:pPr>
        <w:ind w:left="567"/>
        <w:jc w:val="center"/>
        <w:rPr>
          <w:rFonts w:ascii="Calibri" w:eastAsia="Calibri" w:hAnsi="Calibri" w:cs="Calibri"/>
          <w:sz w:val="144"/>
          <w:szCs w:val="144"/>
        </w:rPr>
      </w:pPr>
    </w:p>
    <w:p w:rsidR="007D33BC" w:rsidRPr="007D33BC" w:rsidRDefault="007D33BC" w:rsidP="007D33BC">
      <w:pPr>
        <w:ind w:left="567"/>
        <w:jc w:val="center"/>
        <w:rPr>
          <w:rFonts w:ascii="Calibri" w:eastAsia="Calibri" w:hAnsi="Calibri" w:cs="Calibri"/>
          <w:sz w:val="144"/>
          <w:szCs w:val="144"/>
        </w:rPr>
      </w:pPr>
      <w:r>
        <w:rPr>
          <w:rFonts w:ascii="Calibri" w:eastAsia="Calibri" w:hAnsi="Calibri" w:cs="Calibri"/>
          <w:sz w:val="144"/>
          <w:szCs w:val="144"/>
        </w:rPr>
        <w:t>KS4 RR</w:t>
      </w:r>
      <w:r w:rsidRPr="007D33BC">
        <w:rPr>
          <w:rFonts w:ascii="Calibri" w:eastAsia="Calibri" w:hAnsi="Calibri" w:cs="Calibri"/>
          <w:sz w:val="144"/>
          <w:szCs w:val="144"/>
        </w:rPr>
        <w:t xml:space="preserve"> Timetable </w:t>
      </w: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p w:rsidR="007D33BC" w:rsidRDefault="007D33BC" w:rsidP="00052B4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5163" w:type="dxa"/>
        <w:tblInd w:w="0" w:type="dxa"/>
        <w:tblLook w:val="04A0" w:firstRow="1" w:lastRow="0" w:firstColumn="1" w:lastColumn="0" w:noHBand="0" w:noVBand="1"/>
      </w:tblPr>
      <w:tblGrid>
        <w:gridCol w:w="1378"/>
        <w:gridCol w:w="1386"/>
        <w:gridCol w:w="1528"/>
        <w:gridCol w:w="425"/>
        <w:gridCol w:w="1560"/>
        <w:gridCol w:w="1692"/>
        <w:gridCol w:w="425"/>
        <w:gridCol w:w="2055"/>
        <w:gridCol w:w="354"/>
        <w:gridCol w:w="142"/>
        <w:gridCol w:w="4218"/>
      </w:tblGrid>
      <w:tr w:rsidR="00052B4E" w:rsidTr="007D33B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Monday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English 9.30 – 10.30</w:t>
            </w:r>
          </w:p>
          <w:p w:rsidR="00052B4E" w:rsidRDefault="00341C43" w:rsidP="00DE1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Fiction – Current Issues</w:t>
            </w:r>
          </w:p>
          <w:p w:rsidR="00341C43" w:rsidRPr="00341C43" w:rsidRDefault="00341C43" w:rsidP="00DE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focus on personal perspectives around current issues. Students will look at and compare the type</w:t>
            </w:r>
            <w:r w:rsidR="000807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language used in news article 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Maths 11.00 – 12.00</w:t>
            </w:r>
          </w:p>
          <w:p w:rsidR="00DE1914" w:rsidRDefault="00DE1914" w:rsidP="00DE191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Data Handling </w:t>
            </w:r>
          </w:p>
          <w:p w:rsidR="00DE1914" w:rsidRDefault="00DE1914" w:rsidP="00DE191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Students will be looking at different ways that data is presented and focus on being able to interpret information from a range of data. </w:t>
            </w:r>
          </w:p>
          <w:p w:rsidR="00DE1914" w:rsidRDefault="00DE1914">
            <w:pPr>
              <w:rPr>
                <w:rFonts w:ascii="Arial" w:hAnsi="Arial" w:cs="Arial"/>
                <w:color w:val="FF0000"/>
              </w:rPr>
            </w:pPr>
          </w:p>
          <w:p w:rsidR="00052B4E" w:rsidRDefault="00052B4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Art 1.00 – 2.00</w:t>
            </w:r>
          </w:p>
          <w:p w:rsidR="0041520B" w:rsidRPr="0041520B" w:rsidRDefault="004152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41520B">
              <w:rPr>
                <w:rFonts w:ascii="Arial" w:hAnsi="Arial" w:cs="Arial"/>
                <w:b/>
                <w:color w:val="000000" w:themeColor="text1"/>
              </w:rPr>
              <w:t>Research Project</w:t>
            </w:r>
          </w:p>
          <w:p w:rsidR="00052B4E" w:rsidRDefault="00415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choose an artist to research and create an information pack about the artist.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PSHE 2.00 – 3.00</w:t>
            </w:r>
          </w:p>
          <w:p w:rsidR="00052B4E" w:rsidRDefault="004300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00D3">
              <w:rPr>
                <w:rFonts w:ascii="Arial" w:hAnsi="Arial" w:cs="Arial"/>
                <w:b/>
                <w:color w:val="000000" w:themeColor="text1"/>
              </w:rPr>
              <w:t>Healthy Lifestyle</w:t>
            </w:r>
          </w:p>
          <w:p w:rsidR="004300D3" w:rsidRPr="004300D3" w:rsidRDefault="004300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This term we will focus on the importance of a healthy lifestyle to maintain / improve physical and mental wellbeing. We will look at the benefit of exercise, being outside and healthy eating. </w:t>
            </w:r>
          </w:p>
        </w:tc>
      </w:tr>
      <w:tr w:rsidR="00052B4E" w:rsidTr="007D33B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English 9.30 – 10.30</w:t>
            </w:r>
          </w:p>
          <w:p w:rsidR="00341C43" w:rsidRDefault="00341C43" w:rsidP="0034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 Fiction – Current Issues</w:t>
            </w:r>
          </w:p>
          <w:p w:rsidR="00052B4E" w:rsidRDefault="00341C43" w:rsidP="0034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focus on personal perspectives around current issues. Students will look at and compare the type of language used in news article text</w:t>
            </w:r>
          </w:p>
          <w:p w:rsidR="00052B4E" w:rsidRDefault="00052B4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Maths 11.00 – 12.00</w:t>
            </w:r>
          </w:p>
          <w:p w:rsidR="00341C43" w:rsidRDefault="00341C43" w:rsidP="00341C4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Data Handling </w:t>
            </w:r>
          </w:p>
          <w:p w:rsidR="00341C43" w:rsidRDefault="00341C43" w:rsidP="00341C4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Students will be looking at different ways that data is presented and focus on being able to interpret information from a range of data. </w:t>
            </w:r>
          </w:p>
          <w:p w:rsidR="00052B4E" w:rsidRDefault="00052B4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Science 1.00 – 3.00</w:t>
            </w:r>
          </w:p>
          <w:p w:rsidR="004300D3" w:rsidRDefault="004300D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00D3">
              <w:rPr>
                <w:rFonts w:ascii="Arial" w:hAnsi="Arial" w:cs="Arial"/>
                <w:b/>
                <w:color w:val="000000" w:themeColor="text1"/>
              </w:rPr>
              <w:t>Discovering the Prehistoric World</w:t>
            </w:r>
          </w:p>
          <w:p w:rsidR="004300D3" w:rsidRPr="004300D3" w:rsidRDefault="004300D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Students will focus on key events in the evolution of life on earth</w:t>
            </w:r>
            <w:r w:rsidR="0041520B">
              <w:rPr>
                <w:rFonts w:ascii="Arial" w:hAnsi="Arial" w:cs="Arial"/>
                <w:color w:val="000000" w:themeColor="text1"/>
              </w:rPr>
              <w:t xml:space="preserve">, such as the formation and evolution of dinosaurs, possible reasons for their extinction and how fossils were formed. </w:t>
            </w:r>
          </w:p>
        </w:tc>
      </w:tr>
      <w:tr w:rsidR="00052B4E" w:rsidTr="007D33B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English 9.30 – 10.30</w:t>
            </w:r>
          </w:p>
          <w:p w:rsidR="00052B4E" w:rsidRPr="004300D3" w:rsidRDefault="004300D3">
            <w:pPr>
              <w:rPr>
                <w:rFonts w:ascii="Arial" w:hAnsi="Arial" w:cs="Arial"/>
                <w:b/>
              </w:rPr>
            </w:pPr>
            <w:r w:rsidRPr="004300D3">
              <w:rPr>
                <w:rFonts w:ascii="Arial" w:hAnsi="Arial" w:cs="Arial"/>
                <w:b/>
              </w:rPr>
              <w:t>Grammar and Punctuation</w:t>
            </w:r>
          </w:p>
          <w:p w:rsidR="00052B4E" w:rsidRDefault="00430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focus on the correct use of grammar and punctuation in practical use. </w:t>
            </w:r>
          </w:p>
          <w:p w:rsidR="00052B4E" w:rsidRDefault="00052B4E">
            <w:pPr>
              <w:rPr>
                <w:rFonts w:ascii="Arial" w:hAnsi="Arial" w:cs="Arial"/>
              </w:rPr>
            </w:pPr>
          </w:p>
          <w:p w:rsidR="00052B4E" w:rsidRDefault="00052B4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Maths 11.00 – 12.00</w:t>
            </w:r>
          </w:p>
          <w:p w:rsidR="00052B4E" w:rsidRDefault="00341C43">
            <w:pPr>
              <w:rPr>
                <w:rFonts w:ascii="Arial" w:hAnsi="Arial" w:cs="Arial"/>
                <w:b/>
              </w:rPr>
            </w:pPr>
            <w:r w:rsidRPr="00341C43">
              <w:rPr>
                <w:rFonts w:ascii="Arial" w:hAnsi="Arial" w:cs="Arial"/>
                <w:b/>
              </w:rPr>
              <w:t>Addition and Subtraction</w:t>
            </w:r>
          </w:p>
          <w:p w:rsidR="00341C43" w:rsidRDefault="0034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Numbers</w:t>
            </w:r>
          </w:p>
          <w:p w:rsidR="00341C43" w:rsidRPr="00341C43" w:rsidRDefault="0034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work on a range on everyday addition and subtraction problems with numbers up to 7 digits.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 w:rsidRPr="00052B4E">
              <w:rPr>
                <w:rFonts w:ascii="Arial" w:hAnsi="Arial" w:cs="Arial"/>
                <w:color w:val="FF0000"/>
              </w:rPr>
              <w:t>Equine Care</w:t>
            </w:r>
            <w:r>
              <w:rPr>
                <w:rFonts w:ascii="Arial" w:hAnsi="Arial" w:cs="Arial"/>
                <w:color w:val="FF0000"/>
              </w:rPr>
              <w:t xml:space="preserve"> 1.00 – 1.45</w:t>
            </w:r>
          </w:p>
          <w:p w:rsidR="0041520B" w:rsidRDefault="004152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41520B">
              <w:rPr>
                <w:rFonts w:ascii="Arial" w:hAnsi="Arial" w:cs="Arial"/>
                <w:b/>
                <w:color w:val="000000" w:themeColor="text1"/>
              </w:rPr>
              <w:t>BHS Stage 1</w:t>
            </w:r>
          </w:p>
          <w:p w:rsidR="0041520B" w:rsidRPr="0041520B" w:rsidRDefault="00415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Students are working towards their Level 1 BHS Award.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Default="00052B4E">
            <w:pPr>
              <w:rPr>
                <w:rFonts w:ascii="Arial" w:hAnsi="Arial" w:cs="Arial"/>
                <w:color w:val="FF0000"/>
              </w:rPr>
            </w:pPr>
            <w:r w:rsidRPr="00052B4E">
              <w:rPr>
                <w:rFonts w:ascii="Arial" w:hAnsi="Arial" w:cs="Arial"/>
                <w:color w:val="FF0000"/>
              </w:rPr>
              <w:t>Fitness</w:t>
            </w:r>
            <w:r>
              <w:rPr>
                <w:rFonts w:ascii="Arial" w:hAnsi="Arial" w:cs="Arial"/>
                <w:color w:val="FF0000"/>
              </w:rPr>
              <w:t xml:space="preserve"> 1.45 – 2.45</w:t>
            </w:r>
          </w:p>
          <w:p w:rsidR="0041520B" w:rsidRDefault="004152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41520B">
              <w:rPr>
                <w:rFonts w:ascii="Arial" w:hAnsi="Arial" w:cs="Arial"/>
                <w:b/>
                <w:color w:val="000000" w:themeColor="text1"/>
              </w:rPr>
              <w:t>Healthy Lifestyles</w:t>
            </w:r>
          </w:p>
          <w:p w:rsidR="0041520B" w:rsidRPr="0041520B" w:rsidRDefault="00415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Students will focus on physical fitness and the benefit to physical and mental health. A practical activity will take place most weeks and students will have the opportunity to exercise in Cannon Hill Park.</w:t>
            </w:r>
          </w:p>
        </w:tc>
      </w:tr>
      <w:tr w:rsidR="00052B4E" w:rsidTr="007D33B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Pr="000807FF" w:rsidRDefault="00052B4E">
            <w:pPr>
              <w:rPr>
                <w:rFonts w:ascii="Arial" w:hAnsi="Arial" w:cs="Arial"/>
                <w:b/>
                <w:color w:val="C00000"/>
              </w:rPr>
            </w:pPr>
            <w:r w:rsidRPr="000807FF">
              <w:rPr>
                <w:rFonts w:ascii="Arial" w:hAnsi="Arial" w:cs="Arial"/>
                <w:b/>
                <w:color w:val="C00000"/>
              </w:rPr>
              <w:t xml:space="preserve">Stables </w:t>
            </w:r>
          </w:p>
          <w:p w:rsidR="00052B4E" w:rsidRDefault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52B4E" w:rsidRDefault="00052B4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b/>
                <w:color w:val="C00000"/>
              </w:rPr>
            </w:pPr>
            <w:r w:rsidRPr="000807FF">
              <w:rPr>
                <w:rFonts w:ascii="Arial" w:hAnsi="Arial" w:cs="Arial"/>
                <w:b/>
                <w:color w:val="C00000"/>
              </w:rPr>
              <w:t>Stables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807FF" w:rsidRPr="000807FF" w:rsidRDefault="000807FF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b/>
                <w:color w:val="C00000"/>
              </w:rPr>
            </w:pPr>
            <w:r w:rsidRPr="000807FF">
              <w:rPr>
                <w:rFonts w:ascii="Arial" w:hAnsi="Arial" w:cs="Arial"/>
                <w:b/>
                <w:color w:val="C00000"/>
              </w:rPr>
              <w:t>Stables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807FF" w:rsidRPr="000807FF" w:rsidRDefault="000807FF">
            <w:pPr>
              <w:rPr>
                <w:rFonts w:ascii="Arial" w:hAnsi="Arial" w:cs="Arial"/>
                <w:b/>
              </w:rPr>
            </w:pPr>
          </w:p>
        </w:tc>
      </w:tr>
      <w:tr w:rsidR="00052B4E" w:rsidTr="007D33B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  <w:r w:rsidRPr="000807FF">
              <w:rPr>
                <w:rFonts w:ascii="Arial" w:hAnsi="Arial" w:cs="Arial"/>
                <w:b/>
                <w:color w:val="FF0000"/>
              </w:rPr>
              <w:t xml:space="preserve">Stables 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</w:p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</w:p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</w:p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</w:p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b/>
                <w:color w:val="FF0000"/>
              </w:rPr>
            </w:pPr>
            <w:r w:rsidRPr="000807FF">
              <w:rPr>
                <w:rFonts w:ascii="Arial" w:hAnsi="Arial" w:cs="Arial"/>
                <w:b/>
                <w:color w:val="FF0000"/>
              </w:rPr>
              <w:t>Stables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807FF" w:rsidRPr="000807FF" w:rsidRDefault="000807F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Default="00052B4E">
            <w:pPr>
              <w:rPr>
                <w:rFonts w:ascii="Arial" w:hAnsi="Arial" w:cs="Arial"/>
                <w:b/>
                <w:color w:val="FF0000"/>
              </w:rPr>
            </w:pPr>
            <w:r w:rsidRPr="000807FF">
              <w:rPr>
                <w:rFonts w:ascii="Arial" w:hAnsi="Arial" w:cs="Arial"/>
                <w:b/>
                <w:color w:val="FF0000"/>
              </w:rPr>
              <w:t>Stables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807FF" w:rsidRPr="000807FF" w:rsidRDefault="000807FF">
            <w:pPr>
              <w:rPr>
                <w:rFonts w:ascii="Arial" w:hAnsi="Arial" w:cs="Arial"/>
                <w:b/>
                <w:color w:val="FF0000"/>
              </w:rPr>
            </w:pPr>
          </w:p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</w:p>
          <w:p w:rsidR="00052B4E" w:rsidRPr="000807FF" w:rsidRDefault="00052B4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4E" w:rsidRDefault="00052B4E">
            <w:pPr>
              <w:rPr>
                <w:rFonts w:ascii="Arial" w:hAnsi="Arial" w:cs="Arial"/>
                <w:b/>
                <w:color w:val="FF0000"/>
              </w:rPr>
            </w:pPr>
            <w:r w:rsidRPr="000807FF">
              <w:rPr>
                <w:rFonts w:ascii="Arial" w:hAnsi="Arial" w:cs="Arial"/>
                <w:b/>
                <w:color w:val="FF0000"/>
              </w:rPr>
              <w:t xml:space="preserve">Stables 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807FF" w:rsidRPr="000807FF" w:rsidRDefault="000807F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  <w:p w:rsidR="00052B4E" w:rsidRDefault="0005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b/>
                <w:color w:val="FF0000"/>
              </w:rPr>
            </w:pPr>
            <w:r w:rsidRPr="000807FF">
              <w:rPr>
                <w:rFonts w:ascii="Arial" w:hAnsi="Arial" w:cs="Arial"/>
                <w:b/>
                <w:color w:val="FF0000"/>
              </w:rPr>
              <w:t>Stables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807FF" w:rsidRPr="000807FF" w:rsidRDefault="000807F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4E" w:rsidRDefault="00052B4E">
            <w:pPr>
              <w:rPr>
                <w:rFonts w:ascii="Arial" w:hAnsi="Arial" w:cs="Arial"/>
                <w:b/>
                <w:color w:val="FF0000"/>
              </w:rPr>
            </w:pPr>
            <w:r w:rsidRPr="000807FF">
              <w:rPr>
                <w:rFonts w:ascii="Arial" w:hAnsi="Arial" w:cs="Arial"/>
                <w:b/>
                <w:color w:val="FF0000"/>
              </w:rPr>
              <w:t>Stables</w:t>
            </w:r>
          </w:p>
          <w:p w:rsidR="000807FF" w:rsidRDefault="000807FF" w:rsidP="0008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BHS Level 1</w:t>
            </w:r>
          </w:p>
          <w:p w:rsidR="000807FF" w:rsidRPr="000807FF" w:rsidRDefault="000807F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52B4E" w:rsidRPr="00052B4E" w:rsidRDefault="00052B4E" w:rsidP="00BF441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2B4E" w:rsidRPr="00052B4E" w:rsidSect="007D33BC">
      <w:pgSz w:w="16838" w:h="11906" w:orient="landscape"/>
      <w:pgMar w:top="426" w:right="14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4E"/>
    <w:rsid w:val="00052B4E"/>
    <w:rsid w:val="000807FF"/>
    <w:rsid w:val="00341C43"/>
    <w:rsid w:val="0041520B"/>
    <w:rsid w:val="004300D3"/>
    <w:rsid w:val="007D33BC"/>
    <w:rsid w:val="008E1964"/>
    <w:rsid w:val="00BF441C"/>
    <w:rsid w:val="00D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1C91"/>
  <w15:chartTrackingRefBased/>
  <w15:docId w15:val="{3882AAB9-F827-4A91-95BE-BBF3F9B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Kirby</dc:creator>
  <cp:keywords/>
  <dc:description/>
  <cp:lastModifiedBy>Guilherme Medeiros</cp:lastModifiedBy>
  <cp:revision>3</cp:revision>
  <dcterms:created xsi:type="dcterms:W3CDTF">2021-04-26T15:43:00Z</dcterms:created>
  <dcterms:modified xsi:type="dcterms:W3CDTF">2021-04-26T15:44:00Z</dcterms:modified>
</cp:coreProperties>
</file>