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25AD" w:rsidRPr="001725AD" w:rsidRDefault="001725AD" w:rsidP="001725AD">
      <w:pPr>
        <w:spacing w:before="100" w:beforeAutospacing="1" w:after="100" w:afterAutospacing="1" w:line="240" w:lineRule="auto"/>
        <w:outlineLvl w:val="0"/>
        <w:rPr>
          <w:rFonts w:ascii="Times New Roman" w:eastAsia="Times New Roman" w:hAnsi="Times New Roman" w:cs="Times New Roman"/>
          <w:color w:val="1B2342"/>
          <w:kern w:val="36"/>
          <w:sz w:val="48"/>
          <w:szCs w:val="48"/>
          <w:lang w:eastAsia="en-GB"/>
        </w:rPr>
      </w:pPr>
      <w:bookmarkStart w:id="0" w:name="_GoBack"/>
      <w:bookmarkEnd w:id="0"/>
      <w:r w:rsidRPr="001725AD">
        <w:rPr>
          <w:rFonts w:ascii="Times New Roman" w:eastAsia="Times New Roman" w:hAnsi="Times New Roman" w:cs="Times New Roman"/>
          <w:color w:val="1B2342"/>
          <w:kern w:val="36"/>
          <w:sz w:val="48"/>
          <w:szCs w:val="48"/>
          <w:lang w:eastAsia="en-GB"/>
        </w:rPr>
        <w:t>How teachers can create a culture of high expectations in their classroom</w:t>
      </w:r>
    </w:p>
    <w:p w:rsidR="001725AD" w:rsidRPr="001725AD" w:rsidRDefault="001725AD" w:rsidP="001725AD">
      <w:pPr>
        <w:spacing w:after="0" w:line="240" w:lineRule="auto"/>
        <w:rPr>
          <w:rFonts w:ascii="Times New Roman" w:eastAsia="Times New Roman" w:hAnsi="Times New Roman" w:cs="Times New Roman"/>
          <w:color w:val="5EB3E4"/>
          <w:sz w:val="24"/>
          <w:szCs w:val="24"/>
          <w:lang w:eastAsia="en-GB"/>
        </w:rPr>
      </w:pPr>
      <w:r w:rsidRPr="001725AD">
        <w:rPr>
          <w:rFonts w:ascii="Times New Roman" w:eastAsia="Times New Roman" w:hAnsi="Times New Roman" w:cs="Times New Roman"/>
          <w:color w:val="5EB3E4"/>
          <w:sz w:val="24"/>
          <w:szCs w:val="24"/>
          <w:lang w:eastAsia="en-GB"/>
        </w:rPr>
        <w:t>Research Reviews</w:t>
      </w:r>
    </w:p>
    <w:p w:rsidR="001725AD" w:rsidRPr="001725AD" w:rsidRDefault="001725AD" w:rsidP="001725AD">
      <w:pPr>
        <w:spacing w:after="0" w:line="240" w:lineRule="auto"/>
        <w:rPr>
          <w:rFonts w:ascii="Times New Roman" w:eastAsia="Times New Roman" w:hAnsi="Times New Roman" w:cs="Times New Roman"/>
          <w:color w:val="1B2342"/>
          <w:sz w:val="24"/>
          <w:szCs w:val="24"/>
          <w:lang w:eastAsia="en-GB"/>
        </w:rPr>
      </w:pPr>
      <w:r w:rsidRPr="001725AD">
        <w:rPr>
          <w:rFonts w:ascii="Times New Roman" w:eastAsia="Times New Roman" w:hAnsi="Times New Roman" w:cs="Times New Roman"/>
          <w:color w:val="666666"/>
          <w:sz w:val="24"/>
          <w:szCs w:val="24"/>
          <w:lang w:eastAsia="en-GB"/>
        </w:rPr>
        <w:t>Author: </w:t>
      </w:r>
      <w:r w:rsidRPr="001725AD">
        <w:rPr>
          <w:rFonts w:ascii="Times New Roman" w:eastAsia="Times New Roman" w:hAnsi="Times New Roman" w:cs="Times New Roman"/>
          <w:color w:val="1B2342"/>
          <w:sz w:val="24"/>
          <w:szCs w:val="24"/>
          <w:lang w:eastAsia="en-GB"/>
        </w:rPr>
        <w:t>Julie Smith</w:t>
      </w:r>
    </w:p>
    <w:p w:rsidR="001725AD" w:rsidRDefault="001725AD" w:rsidP="001725AD">
      <w:pPr>
        <w:spacing w:after="0" w:line="240" w:lineRule="auto"/>
        <w:rPr>
          <w:rFonts w:ascii="Times New Roman" w:eastAsia="Times New Roman" w:hAnsi="Times New Roman" w:cs="Times New Roman"/>
          <w:color w:val="1B2342"/>
          <w:sz w:val="24"/>
          <w:szCs w:val="24"/>
          <w:lang w:eastAsia="en-GB"/>
        </w:rPr>
      </w:pPr>
      <w:r w:rsidRPr="001725AD">
        <w:rPr>
          <w:rFonts w:ascii="Times New Roman" w:eastAsia="Times New Roman" w:hAnsi="Times New Roman" w:cs="Times New Roman"/>
          <w:color w:val="666666"/>
          <w:sz w:val="24"/>
          <w:szCs w:val="24"/>
          <w:lang w:eastAsia="en-GB"/>
        </w:rPr>
        <w:t>Date: </w:t>
      </w:r>
      <w:r w:rsidRPr="001725AD">
        <w:rPr>
          <w:rFonts w:ascii="Times New Roman" w:eastAsia="Times New Roman" w:hAnsi="Times New Roman" w:cs="Times New Roman"/>
          <w:color w:val="1B2342"/>
          <w:sz w:val="24"/>
          <w:szCs w:val="24"/>
          <w:lang w:eastAsia="en-GB"/>
        </w:rPr>
        <w:t>Jul 19, 2017</w:t>
      </w:r>
    </w:p>
    <w:p w:rsidR="001725AD" w:rsidRPr="001725AD" w:rsidRDefault="001725AD" w:rsidP="001725AD">
      <w:pPr>
        <w:spacing w:after="0" w:line="240" w:lineRule="auto"/>
        <w:rPr>
          <w:rFonts w:ascii="Times New Roman" w:eastAsia="Times New Roman" w:hAnsi="Times New Roman" w:cs="Times New Roman"/>
          <w:color w:val="1B2342"/>
          <w:sz w:val="24"/>
          <w:szCs w:val="24"/>
          <w:lang w:eastAsia="en-GB"/>
        </w:rPr>
      </w:pPr>
    </w:p>
    <w:p w:rsidR="001725AD" w:rsidRPr="001725AD" w:rsidRDefault="001725AD" w:rsidP="001725AD">
      <w:pPr>
        <w:spacing w:after="100" w:afterAutospacing="1" w:line="240" w:lineRule="auto"/>
        <w:outlineLvl w:val="1"/>
        <w:rPr>
          <w:rFonts w:ascii="Times New Roman" w:eastAsia="Times New Roman" w:hAnsi="Times New Roman" w:cs="Times New Roman"/>
          <w:color w:val="1B2342"/>
          <w:sz w:val="36"/>
          <w:szCs w:val="36"/>
          <w:lang w:eastAsia="en-GB"/>
        </w:rPr>
      </w:pPr>
      <w:r w:rsidRPr="001725AD">
        <w:rPr>
          <w:rFonts w:ascii="Times New Roman" w:eastAsia="Times New Roman" w:hAnsi="Times New Roman" w:cs="Times New Roman"/>
          <w:color w:val="1B2342"/>
          <w:sz w:val="36"/>
          <w:szCs w:val="36"/>
          <w:lang w:eastAsia="en-GB"/>
        </w:rPr>
        <w:t>The impact of teacher interaction in maximising or limiting student achievement</w:t>
      </w:r>
    </w:p>
    <w:p w:rsidR="001725AD" w:rsidRPr="001725AD" w:rsidRDefault="001725AD" w:rsidP="001725AD">
      <w:pPr>
        <w:spacing w:beforeAutospacing="1" w:after="100" w:afterAutospacing="1" w:line="240" w:lineRule="auto"/>
        <w:rPr>
          <w:rFonts w:ascii="Times New Roman" w:eastAsia="Times New Roman" w:hAnsi="Times New Roman" w:cs="Times New Roman"/>
          <w:color w:val="1B2342"/>
          <w:sz w:val="24"/>
          <w:szCs w:val="24"/>
          <w:lang w:eastAsia="en-GB"/>
        </w:rPr>
      </w:pPr>
      <w:r w:rsidRPr="001725AD">
        <w:rPr>
          <w:rFonts w:ascii="Times New Roman" w:eastAsia="Times New Roman" w:hAnsi="Times New Roman" w:cs="Times New Roman"/>
          <w:color w:val="1B2342"/>
          <w:sz w:val="24"/>
          <w:szCs w:val="24"/>
          <w:lang w:eastAsia="en-GB"/>
        </w:rPr>
        <w:t>Labelling and notions of fixed ability are prevalent in our education system. From the earliest stages of formal education, teachers are required to make predictions about future development based on present attainment, determining students’ academic ability.</w:t>
      </w:r>
    </w:p>
    <w:p w:rsidR="001725AD" w:rsidRPr="001725AD" w:rsidRDefault="001725AD" w:rsidP="001725AD">
      <w:pPr>
        <w:spacing w:after="0" w:line="240" w:lineRule="auto"/>
        <w:rPr>
          <w:rFonts w:ascii="Times New Roman" w:eastAsia="Times New Roman" w:hAnsi="Times New Roman" w:cs="Times New Roman"/>
          <w:color w:val="666666"/>
          <w:sz w:val="24"/>
          <w:szCs w:val="24"/>
          <w:lang w:eastAsia="en-GB"/>
        </w:rPr>
      </w:pPr>
      <w:r w:rsidRPr="001725AD">
        <w:rPr>
          <w:rFonts w:ascii="Times New Roman" w:eastAsia="Times New Roman" w:hAnsi="Times New Roman" w:cs="Times New Roman"/>
          <w:color w:val="666666"/>
          <w:sz w:val="24"/>
          <w:szCs w:val="24"/>
          <w:lang w:eastAsia="en-GB"/>
        </w:rPr>
        <w:t>Dixon, 2002</w:t>
      </w:r>
    </w:p>
    <w:p w:rsidR="001725AD" w:rsidRPr="001725AD" w:rsidRDefault="001725AD" w:rsidP="001725AD">
      <w:pPr>
        <w:spacing w:after="100" w:afterAutospacing="1" w:line="240" w:lineRule="auto"/>
        <w:outlineLvl w:val="1"/>
        <w:rPr>
          <w:rFonts w:ascii="Times New Roman" w:eastAsia="Times New Roman" w:hAnsi="Times New Roman" w:cs="Times New Roman"/>
          <w:color w:val="1B2342"/>
          <w:sz w:val="36"/>
          <w:szCs w:val="36"/>
          <w:lang w:eastAsia="en-GB"/>
        </w:rPr>
      </w:pPr>
      <w:r w:rsidRPr="001725AD">
        <w:rPr>
          <w:rFonts w:ascii="Times New Roman" w:eastAsia="Times New Roman" w:hAnsi="Times New Roman" w:cs="Times New Roman"/>
          <w:color w:val="1B2342"/>
          <w:sz w:val="36"/>
          <w:szCs w:val="36"/>
          <w:lang w:eastAsia="en-GB"/>
        </w:rPr>
        <w:t xml:space="preserve">The </w:t>
      </w:r>
      <w:proofErr w:type="spellStart"/>
      <w:r w:rsidRPr="001725AD">
        <w:rPr>
          <w:rFonts w:ascii="Times New Roman" w:eastAsia="Times New Roman" w:hAnsi="Times New Roman" w:cs="Times New Roman"/>
          <w:color w:val="1B2342"/>
          <w:sz w:val="36"/>
          <w:szCs w:val="36"/>
          <w:lang w:eastAsia="en-GB"/>
        </w:rPr>
        <w:t>pygmalion</w:t>
      </w:r>
      <w:proofErr w:type="spellEnd"/>
      <w:r w:rsidRPr="001725AD">
        <w:rPr>
          <w:rFonts w:ascii="Times New Roman" w:eastAsia="Times New Roman" w:hAnsi="Times New Roman" w:cs="Times New Roman"/>
          <w:color w:val="1B2342"/>
          <w:sz w:val="36"/>
          <w:szCs w:val="36"/>
          <w:lang w:eastAsia="en-GB"/>
        </w:rPr>
        <w:t xml:space="preserve"> controversy</w:t>
      </w:r>
    </w:p>
    <w:p w:rsidR="001725AD" w:rsidRPr="001725AD" w:rsidRDefault="001725AD" w:rsidP="001725AD">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1725AD">
        <w:rPr>
          <w:rFonts w:ascii="Times New Roman" w:eastAsia="Times New Roman" w:hAnsi="Times New Roman" w:cs="Times New Roman"/>
          <w:color w:val="666666"/>
          <w:sz w:val="24"/>
          <w:szCs w:val="24"/>
          <w:lang w:eastAsia="en-GB"/>
        </w:rPr>
        <w:t>In their book, ‘</w:t>
      </w:r>
      <w:hyperlink r:id="rId5" w:tgtFrame="_blank" w:history="1">
        <w:r w:rsidRPr="001725AD">
          <w:rPr>
            <w:rFonts w:ascii="Times New Roman" w:eastAsia="Times New Roman" w:hAnsi="Times New Roman" w:cs="Times New Roman"/>
            <w:color w:val="1B2342"/>
            <w:sz w:val="24"/>
            <w:szCs w:val="24"/>
            <w:u w:val="single"/>
            <w:lang w:eastAsia="en-GB"/>
          </w:rPr>
          <w:t>Pygmalion in the Classroom</w:t>
        </w:r>
      </w:hyperlink>
      <w:r w:rsidRPr="001725AD">
        <w:rPr>
          <w:rFonts w:ascii="Times New Roman" w:eastAsia="Times New Roman" w:hAnsi="Times New Roman" w:cs="Times New Roman"/>
          <w:color w:val="666666"/>
          <w:sz w:val="24"/>
          <w:szCs w:val="24"/>
          <w:lang w:eastAsia="en-GB"/>
        </w:rPr>
        <w:t>’, Rosenthal and Jacobsen (1968) reported that experimentally created teacher expectations resulted in changed performance on the part of the students. Teachers were told by researchers that one group of students would make significantly more progress than their peers. Despite the fact that these ‘bloomers’ were randomly selected, this group showed greater IQ gains over the course of a year than a group of control students.</w:t>
      </w:r>
    </w:p>
    <w:p w:rsidR="001725AD" w:rsidRPr="001725AD" w:rsidRDefault="001725AD" w:rsidP="001725AD">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1725AD">
        <w:rPr>
          <w:rFonts w:ascii="Times New Roman" w:eastAsia="Times New Roman" w:hAnsi="Times New Roman" w:cs="Times New Roman"/>
          <w:color w:val="666666"/>
          <w:sz w:val="24"/>
          <w:szCs w:val="24"/>
          <w:lang w:eastAsia="en-GB"/>
        </w:rPr>
        <w:t>As Spitz (1999) reminds us, the Pygmalion controversy has extended for three decades, perhaps because it reflects the seemingly indestructible nature/nurture controversy and disputes about the malleability of intelligence.</w:t>
      </w:r>
    </w:p>
    <w:p w:rsidR="001725AD" w:rsidRPr="001725AD" w:rsidRDefault="001725AD" w:rsidP="001725AD">
      <w:pPr>
        <w:spacing w:after="0" w:line="240" w:lineRule="auto"/>
        <w:rPr>
          <w:rFonts w:ascii="Times New Roman" w:eastAsia="Times New Roman" w:hAnsi="Times New Roman" w:cs="Times New Roman"/>
          <w:color w:val="666666"/>
          <w:sz w:val="24"/>
          <w:szCs w:val="24"/>
          <w:lang w:eastAsia="en-GB"/>
        </w:rPr>
      </w:pPr>
      <w:r w:rsidRPr="001725AD">
        <w:rPr>
          <w:rFonts w:ascii="Times New Roman" w:eastAsia="Times New Roman" w:hAnsi="Times New Roman" w:cs="Times New Roman"/>
          <w:color w:val="666666"/>
          <w:sz w:val="24"/>
          <w:szCs w:val="24"/>
          <w:lang w:eastAsia="en-GB"/>
        </w:rPr>
        <w:t>Although the ‘Pygmalion’ study offers insight into the impact of teacher expectation on students, its central thesis that teacher expectancy raises IQ is problematic, partially because the IQ work of Burt has largely been discredited as a model of ensuring intelligence (</w:t>
      </w:r>
      <w:proofErr w:type="spellStart"/>
      <w:r w:rsidRPr="001725AD">
        <w:rPr>
          <w:rFonts w:ascii="Times New Roman" w:eastAsia="Times New Roman" w:hAnsi="Times New Roman" w:cs="Times New Roman"/>
          <w:color w:val="666666"/>
          <w:sz w:val="24"/>
          <w:szCs w:val="24"/>
          <w:lang w:eastAsia="en-GB"/>
        </w:rPr>
        <w:t>Hearnshaw</w:t>
      </w:r>
      <w:proofErr w:type="spellEnd"/>
      <w:r w:rsidRPr="001725AD">
        <w:rPr>
          <w:rFonts w:ascii="Times New Roman" w:eastAsia="Times New Roman" w:hAnsi="Times New Roman" w:cs="Times New Roman"/>
          <w:color w:val="666666"/>
          <w:sz w:val="24"/>
          <w:szCs w:val="24"/>
          <w:lang w:eastAsia="en-GB"/>
        </w:rPr>
        <w:t xml:space="preserve">, 1979; </w:t>
      </w:r>
      <w:proofErr w:type="spellStart"/>
      <w:r w:rsidRPr="001725AD">
        <w:rPr>
          <w:rFonts w:ascii="Times New Roman" w:eastAsia="Times New Roman" w:hAnsi="Times New Roman" w:cs="Times New Roman"/>
          <w:color w:val="666666"/>
          <w:sz w:val="24"/>
          <w:szCs w:val="24"/>
          <w:lang w:eastAsia="en-GB"/>
        </w:rPr>
        <w:t>Kamin</w:t>
      </w:r>
      <w:proofErr w:type="spellEnd"/>
      <w:r w:rsidRPr="001725AD">
        <w:rPr>
          <w:rFonts w:ascii="Times New Roman" w:eastAsia="Times New Roman" w:hAnsi="Times New Roman" w:cs="Times New Roman"/>
          <w:color w:val="666666"/>
          <w:sz w:val="24"/>
          <w:szCs w:val="24"/>
          <w:lang w:eastAsia="en-GB"/>
        </w:rPr>
        <w:t xml:space="preserve"> 1974; </w:t>
      </w:r>
      <w:proofErr w:type="spellStart"/>
      <w:r w:rsidRPr="001725AD">
        <w:rPr>
          <w:rFonts w:ascii="Times New Roman" w:eastAsia="Times New Roman" w:hAnsi="Times New Roman" w:cs="Times New Roman"/>
          <w:color w:val="666666"/>
          <w:sz w:val="24"/>
          <w:szCs w:val="24"/>
          <w:lang w:eastAsia="en-GB"/>
        </w:rPr>
        <w:t>Joynson</w:t>
      </w:r>
      <w:proofErr w:type="spellEnd"/>
      <w:r w:rsidRPr="001725AD">
        <w:rPr>
          <w:rFonts w:ascii="Times New Roman" w:eastAsia="Times New Roman" w:hAnsi="Times New Roman" w:cs="Times New Roman"/>
          <w:color w:val="666666"/>
          <w:sz w:val="24"/>
          <w:szCs w:val="24"/>
          <w:lang w:eastAsia="en-GB"/>
        </w:rPr>
        <w:t xml:space="preserve">, 1989).  However, Rosenthal’s work did lead to a plethora of investigations, including Brophy’s (1970) study, finding that teachers’ interactions with pupils maximise the achievement progress of high expectation students, but limit the progress of low expectation students. Similarly, </w:t>
      </w:r>
      <w:proofErr w:type="spellStart"/>
      <w:r w:rsidRPr="001725AD">
        <w:rPr>
          <w:rFonts w:ascii="Times New Roman" w:eastAsia="Times New Roman" w:hAnsi="Times New Roman" w:cs="Times New Roman"/>
          <w:color w:val="666666"/>
          <w:sz w:val="24"/>
          <w:szCs w:val="24"/>
          <w:lang w:eastAsia="en-GB"/>
        </w:rPr>
        <w:t>Brattesani</w:t>
      </w:r>
      <w:proofErr w:type="spellEnd"/>
      <w:r w:rsidRPr="001725AD">
        <w:rPr>
          <w:rFonts w:ascii="Times New Roman" w:eastAsia="Times New Roman" w:hAnsi="Times New Roman" w:cs="Times New Roman"/>
          <w:color w:val="666666"/>
          <w:sz w:val="24"/>
          <w:szCs w:val="24"/>
          <w:lang w:eastAsia="en-GB"/>
        </w:rPr>
        <w:t>, Weinstein and Marshall (1984) claim that teachers’ behaviour communicates their achievement expectations to their students and influences students’ own expectations and achievement.</w:t>
      </w:r>
    </w:p>
    <w:p w:rsidR="001725AD" w:rsidRPr="001725AD" w:rsidRDefault="001725AD" w:rsidP="001725AD">
      <w:pPr>
        <w:spacing w:beforeAutospacing="1" w:after="100" w:afterAutospacing="1" w:line="240" w:lineRule="auto"/>
        <w:rPr>
          <w:rFonts w:ascii="Times New Roman" w:eastAsia="Times New Roman" w:hAnsi="Times New Roman" w:cs="Times New Roman"/>
          <w:color w:val="1B2342"/>
          <w:sz w:val="24"/>
          <w:szCs w:val="24"/>
          <w:lang w:eastAsia="en-GB"/>
        </w:rPr>
      </w:pPr>
      <w:r w:rsidRPr="001725AD">
        <w:rPr>
          <w:rFonts w:ascii="Times New Roman" w:eastAsia="Times New Roman" w:hAnsi="Times New Roman" w:cs="Times New Roman"/>
          <w:color w:val="1B2342"/>
          <w:sz w:val="24"/>
          <w:szCs w:val="24"/>
          <w:lang w:eastAsia="en-GB"/>
        </w:rPr>
        <w:t>Students want their teachers to be able to believe that they can do good work, and to demand it.</w:t>
      </w:r>
    </w:p>
    <w:p w:rsidR="001725AD" w:rsidRPr="001725AD" w:rsidRDefault="001725AD" w:rsidP="001725AD">
      <w:pPr>
        <w:spacing w:after="100" w:afterAutospacing="1" w:line="240" w:lineRule="auto"/>
        <w:outlineLvl w:val="1"/>
        <w:rPr>
          <w:rFonts w:ascii="Times New Roman" w:eastAsia="Times New Roman" w:hAnsi="Times New Roman" w:cs="Times New Roman"/>
          <w:color w:val="1B2342"/>
          <w:sz w:val="36"/>
          <w:szCs w:val="36"/>
          <w:lang w:eastAsia="en-GB"/>
        </w:rPr>
      </w:pPr>
      <w:r w:rsidRPr="001725AD">
        <w:rPr>
          <w:rFonts w:ascii="Times New Roman" w:eastAsia="Times New Roman" w:hAnsi="Times New Roman" w:cs="Times New Roman"/>
          <w:color w:val="1B2342"/>
          <w:sz w:val="36"/>
          <w:szCs w:val="36"/>
          <w:lang w:eastAsia="en-GB"/>
        </w:rPr>
        <w:t>The effects of grouping by ability</w:t>
      </w:r>
    </w:p>
    <w:p w:rsidR="001725AD" w:rsidRPr="001725AD" w:rsidRDefault="001725AD" w:rsidP="001725AD">
      <w:pPr>
        <w:spacing w:before="100" w:beforeAutospacing="1" w:after="100" w:afterAutospacing="1" w:line="240" w:lineRule="auto"/>
        <w:rPr>
          <w:rFonts w:ascii="Times New Roman" w:eastAsia="Times New Roman" w:hAnsi="Times New Roman" w:cs="Times New Roman"/>
          <w:color w:val="666666"/>
          <w:sz w:val="24"/>
          <w:szCs w:val="24"/>
          <w:lang w:eastAsia="en-GB"/>
        </w:rPr>
      </w:pPr>
      <w:proofErr w:type="spellStart"/>
      <w:r w:rsidRPr="001725AD">
        <w:rPr>
          <w:rFonts w:ascii="Times New Roman" w:eastAsia="Times New Roman" w:hAnsi="Times New Roman" w:cs="Times New Roman"/>
          <w:color w:val="666666"/>
          <w:sz w:val="24"/>
          <w:szCs w:val="24"/>
          <w:lang w:eastAsia="en-GB"/>
        </w:rPr>
        <w:t>Babad</w:t>
      </w:r>
      <w:proofErr w:type="spellEnd"/>
      <w:r w:rsidRPr="001725AD">
        <w:rPr>
          <w:rFonts w:ascii="Times New Roman" w:eastAsia="Times New Roman" w:hAnsi="Times New Roman" w:cs="Times New Roman"/>
          <w:color w:val="666666"/>
          <w:sz w:val="24"/>
          <w:szCs w:val="24"/>
          <w:lang w:eastAsia="en-GB"/>
        </w:rPr>
        <w:t xml:space="preserve"> (1995) reports that students perceived that their teachers give low achievers more learning support and put less pressure on them than they do on high achievers, but also that they give high achievers more ‘warmth and emotional support’ (</w:t>
      </w:r>
      <w:proofErr w:type="spellStart"/>
      <w:r w:rsidRPr="001725AD">
        <w:rPr>
          <w:rFonts w:ascii="Times New Roman" w:eastAsia="Times New Roman" w:hAnsi="Times New Roman" w:cs="Times New Roman"/>
          <w:color w:val="666666"/>
          <w:sz w:val="24"/>
          <w:szCs w:val="24"/>
          <w:lang w:eastAsia="en-GB"/>
        </w:rPr>
        <w:t>Babad</w:t>
      </w:r>
      <w:proofErr w:type="spellEnd"/>
      <w:r w:rsidRPr="001725AD">
        <w:rPr>
          <w:rFonts w:ascii="Times New Roman" w:eastAsia="Times New Roman" w:hAnsi="Times New Roman" w:cs="Times New Roman"/>
          <w:color w:val="666666"/>
          <w:sz w:val="24"/>
          <w:szCs w:val="24"/>
          <w:lang w:eastAsia="en-GB"/>
        </w:rPr>
        <w:t>, 1995, p.362).</w:t>
      </w:r>
    </w:p>
    <w:p w:rsidR="001725AD" w:rsidRPr="001725AD" w:rsidRDefault="001725AD" w:rsidP="001725AD">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1725AD">
        <w:rPr>
          <w:rFonts w:ascii="Times New Roman" w:eastAsia="Times New Roman" w:hAnsi="Times New Roman" w:cs="Times New Roman"/>
          <w:color w:val="666666"/>
          <w:sz w:val="24"/>
          <w:szCs w:val="24"/>
          <w:lang w:eastAsia="en-GB"/>
        </w:rPr>
        <w:lastRenderedPageBreak/>
        <w:t>Rubie-Davies </w:t>
      </w:r>
      <w:r w:rsidRPr="001725AD">
        <w:rPr>
          <w:rFonts w:ascii="Times New Roman" w:eastAsia="Times New Roman" w:hAnsi="Times New Roman" w:cs="Times New Roman"/>
          <w:i/>
          <w:iCs/>
          <w:color w:val="666666"/>
          <w:sz w:val="24"/>
          <w:szCs w:val="24"/>
          <w:lang w:eastAsia="en-GB"/>
        </w:rPr>
        <w:t>et al.</w:t>
      </w:r>
      <w:r w:rsidRPr="001725AD">
        <w:rPr>
          <w:rFonts w:ascii="Times New Roman" w:eastAsia="Times New Roman" w:hAnsi="Times New Roman" w:cs="Times New Roman"/>
          <w:color w:val="666666"/>
          <w:sz w:val="24"/>
          <w:szCs w:val="24"/>
          <w:lang w:eastAsia="en-GB"/>
        </w:rPr>
        <w:t> (2015) refer to Weinstein’s (2002) research, categorising teachers as ‘high and low differentiating’ (Rubie-Davies </w:t>
      </w:r>
      <w:r w:rsidRPr="001725AD">
        <w:rPr>
          <w:rFonts w:ascii="Times New Roman" w:eastAsia="Times New Roman" w:hAnsi="Times New Roman" w:cs="Times New Roman"/>
          <w:i/>
          <w:iCs/>
          <w:color w:val="666666"/>
          <w:sz w:val="24"/>
          <w:szCs w:val="24"/>
          <w:lang w:eastAsia="en-GB"/>
        </w:rPr>
        <w:t>et al.</w:t>
      </w:r>
      <w:r w:rsidRPr="001725AD">
        <w:rPr>
          <w:rFonts w:ascii="Times New Roman" w:eastAsia="Times New Roman" w:hAnsi="Times New Roman" w:cs="Times New Roman"/>
          <w:color w:val="666666"/>
          <w:sz w:val="24"/>
          <w:szCs w:val="24"/>
          <w:lang w:eastAsia="en-GB"/>
        </w:rPr>
        <w:t>, 2015, p.74). Weinstein finds that in the classes of ‘low differentiating’ teachers, the gap between high and low expectation student achievement decreased over a year (</w:t>
      </w:r>
      <w:r w:rsidRPr="001725AD">
        <w:rPr>
          <w:rFonts w:ascii="Times New Roman" w:eastAsia="Times New Roman" w:hAnsi="Times New Roman" w:cs="Times New Roman"/>
          <w:i/>
          <w:iCs/>
          <w:color w:val="666666"/>
          <w:sz w:val="24"/>
          <w:szCs w:val="24"/>
          <w:lang w:eastAsia="en-GB"/>
        </w:rPr>
        <w:t>ibid</w:t>
      </w:r>
      <w:r w:rsidRPr="001725AD">
        <w:rPr>
          <w:rFonts w:ascii="Times New Roman" w:eastAsia="Times New Roman" w:hAnsi="Times New Roman" w:cs="Times New Roman"/>
          <w:color w:val="666666"/>
          <w:sz w:val="24"/>
          <w:szCs w:val="24"/>
          <w:lang w:eastAsia="en-GB"/>
        </w:rPr>
        <w:t>). Additionally, Rubie-Davies </w:t>
      </w:r>
      <w:r w:rsidRPr="001725AD">
        <w:rPr>
          <w:rFonts w:ascii="Times New Roman" w:eastAsia="Times New Roman" w:hAnsi="Times New Roman" w:cs="Times New Roman"/>
          <w:i/>
          <w:iCs/>
          <w:color w:val="666666"/>
          <w:sz w:val="24"/>
          <w:szCs w:val="24"/>
          <w:lang w:eastAsia="en-GB"/>
        </w:rPr>
        <w:t>et al</w:t>
      </w:r>
      <w:r w:rsidRPr="001725AD">
        <w:rPr>
          <w:rFonts w:ascii="Times New Roman" w:eastAsia="Times New Roman" w:hAnsi="Times New Roman" w:cs="Times New Roman"/>
          <w:color w:val="666666"/>
          <w:sz w:val="24"/>
          <w:szCs w:val="24"/>
          <w:lang w:eastAsia="en-GB"/>
        </w:rPr>
        <w:t>. (2015) find that flexible grouping has many benefits for student learning, as does positive student-teacher relationships, in addition to the setting of specific, achievable goals.</w:t>
      </w:r>
    </w:p>
    <w:p w:rsidR="001725AD" w:rsidRPr="001725AD" w:rsidRDefault="001725AD" w:rsidP="001725AD">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1725AD">
        <w:rPr>
          <w:rFonts w:ascii="Times New Roman" w:eastAsia="Times New Roman" w:hAnsi="Times New Roman" w:cs="Times New Roman"/>
          <w:color w:val="666666"/>
          <w:sz w:val="24"/>
          <w:szCs w:val="24"/>
          <w:lang w:eastAsia="en-GB"/>
        </w:rPr>
        <w:t>The benefits of the practices of Rubie-Davies </w:t>
      </w:r>
      <w:r w:rsidRPr="001725AD">
        <w:rPr>
          <w:rFonts w:ascii="Times New Roman" w:eastAsia="Times New Roman" w:hAnsi="Times New Roman" w:cs="Times New Roman"/>
          <w:i/>
          <w:iCs/>
          <w:color w:val="666666"/>
          <w:sz w:val="24"/>
          <w:szCs w:val="24"/>
          <w:lang w:eastAsia="en-GB"/>
        </w:rPr>
        <w:t xml:space="preserve">et </w:t>
      </w:r>
      <w:proofErr w:type="spellStart"/>
      <w:r w:rsidRPr="001725AD">
        <w:rPr>
          <w:rFonts w:ascii="Times New Roman" w:eastAsia="Times New Roman" w:hAnsi="Times New Roman" w:cs="Times New Roman"/>
          <w:i/>
          <w:iCs/>
          <w:color w:val="666666"/>
          <w:sz w:val="24"/>
          <w:szCs w:val="24"/>
          <w:lang w:eastAsia="en-GB"/>
        </w:rPr>
        <w:t>al’s</w:t>
      </w:r>
      <w:proofErr w:type="spellEnd"/>
      <w:r w:rsidRPr="001725AD">
        <w:rPr>
          <w:rFonts w:ascii="Times New Roman" w:eastAsia="Times New Roman" w:hAnsi="Times New Roman" w:cs="Times New Roman"/>
          <w:color w:val="666666"/>
          <w:sz w:val="24"/>
          <w:szCs w:val="24"/>
          <w:lang w:eastAsia="en-GB"/>
        </w:rPr>
        <w:t> (2015) low differentiating teachers are supported elsewhere in the research literature. They find that ‘none of the high expectation teachers grouped their students by ability’, suggesting that ‘within-class ability grouping (can have) detrimental effects on student self-beliefs’ (Rubie-Davies </w:t>
      </w:r>
      <w:r w:rsidRPr="001725AD">
        <w:rPr>
          <w:rFonts w:ascii="Times New Roman" w:eastAsia="Times New Roman" w:hAnsi="Times New Roman" w:cs="Times New Roman"/>
          <w:i/>
          <w:iCs/>
          <w:color w:val="666666"/>
          <w:sz w:val="24"/>
          <w:szCs w:val="24"/>
          <w:lang w:eastAsia="en-GB"/>
        </w:rPr>
        <w:t>et al.</w:t>
      </w:r>
      <w:r w:rsidRPr="001725AD">
        <w:rPr>
          <w:rFonts w:ascii="Times New Roman" w:eastAsia="Times New Roman" w:hAnsi="Times New Roman" w:cs="Times New Roman"/>
          <w:color w:val="666666"/>
          <w:sz w:val="24"/>
          <w:szCs w:val="24"/>
          <w:lang w:eastAsia="en-GB"/>
        </w:rPr>
        <w:t>, 2015, p.75).</w:t>
      </w:r>
    </w:p>
    <w:p w:rsidR="001725AD" w:rsidRPr="001725AD" w:rsidRDefault="001725AD" w:rsidP="001725AD">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1725AD">
        <w:rPr>
          <w:rFonts w:ascii="Times New Roman" w:eastAsia="Times New Roman" w:hAnsi="Times New Roman" w:cs="Times New Roman"/>
          <w:color w:val="666666"/>
          <w:sz w:val="24"/>
          <w:szCs w:val="24"/>
          <w:lang w:eastAsia="en-GB"/>
        </w:rPr>
        <w:t>Despite the preference politicians express for grouping students according to attainment, the research literature suggests that this form of grouping has ‘few significant effects on achievement, aside from replicating the pre-established achievement hierarchy of social class’ (</w:t>
      </w:r>
      <w:proofErr w:type="spellStart"/>
      <w:r w:rsidRPr="001725AD">
        <w:rPr>
          <w:rFonts w:ascii="Times New Roman" w:eastAsia="Times New Roman" w:hAnsi="Times New Roman" w:cs="Times New Roman"/>
          <w:color w:val="666666"/>
          <w:sz w:val="24"/>
          <w:szCs w:val="24"/>
          <w:lang w:eastAsia="en-GB"/>
        </w:rPr>
        <w:t>Kutnick</w:t>
      </w:r>
      <w:proofErr w:type="spellEnd"/>
      <w:r w:rsidRPr="001725AD">
        <w:rPr>
          <w:rFonts w:ascii="Times New Roman" w:eastAsia="Times New Roman" w:hAnsi="Times New Roman" w:cs="Times New Roman"/>
          <w:color w:val="666666"/>
          <w:sz w:val="24"/>
          <w:szCs w:val="24"/>
          <w:lang w:eastAsia="en-GB"/>
        </w:rPr>
        <w:t>, Blatchford and Baines, 2005, pp.350-1).</w:t>
      </w:r>
    </w:p>
    <w:p w:rsidR="001725AD" w:rsidRPr="001725AD" w:rsidRDefault="001725AD" w:rsidP="001725AD">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1725AD">
        <w:rPr>
          <w:rFonts w:ascii="Times New Roman" w:eastAsia="Times New Roman" w:hAnsi="Times New Roman" w:cs="Times New Roman"/>
          <w:color w:val="666666"/>
          <w:sz w:val="24"/>
          <w:szCs w:val="24"/>
          <w:lang w:eastAsia="en-GB"/>
        </w:rPr>
        <w:t xml:space="preserve">Ireson and Hallam (2005) also propose that setting readily establishes status hierarchies, accompanied by stereotypes and expectations of pupils. Similarly, </w:t>
      </w:r>
      <w:proofErr w:type="spellStart"/>
      <w:r w:rsidRPr="001725AD">
        <w:rPr>
          <w:rFonts w:ascii="Times New Roman" w:eastAsia="Times New Roman" w:hAnsi="Times New Roman" w:cs="Times New Roman"/>
          <w:color w:val="666666"/>
          <w:sz w:val="24"/>
          <w:szCs w:val="24"/>
          <w:lang w:eastAsia="en-GB"/>
        </w:rPr>
        <w:t>Kutnick</w:t>
      </w:r>
      <w:proofErr w:type="spellEnd"/>
      <w:r w:rsidRPr="001725AD">
        <w:rPr>
          <w:rFonts w:ascii="Times New Roman" w:eastAsia="Times New Roman" w:hAnsi="Times New Roman" w:cs="Times New Roman"/>
          <w:color w:val="666666"/>
          <w:sz w:val="24"/>
          <w:szCs w:val="24"/>
          <w:lang w:eastAsia="en-GB"/>
        </w:rPr>
        <w:t>, Blatchford and Baines (2005) suggest that within-class ability grouping may inhibit classroom learning.</w:t>
      </w:r>
    </w:p>
    <w:p w:rsidR="001725AD" w:rsidRPr="001725AD" w:rsidRDefault="001725AD" w:rsidP="001725AD">
      <w:pPr>
        <w:spacing w:after="0" w:line="240" w:lineRule="auto"/>
        <w:rPr>
          <w:rFonts w:ascii="Times New Roman" w:eastAsia="Times New Roman" w:hAnsi="Times New Roman" w:cs="Times New Roman"/>
          <w:color w:val="666666"/>
          <w:sz w:val="24"/>
          <w:szCs w:val="24"/>
          <w:lang w:eastAsia="en-GB"/>
        </w:rPr>
      </w:pPr>
      <w:r w:rsidRPr="001725AD">
        <w:rPr>
          <w:rFonts w:ascii="Times New Roman" w:eastAsia="Times New Roman" w:hAnsi="Times New Roman" w:cs="Times New Roman"/>
          <w:color w:val="666666"/>
          <w:sz w:val="24"/>
          <w:szCs w:val="24"/>
          <w:lang w:eastAsia="en-GB"/>
        </w:rPr>
        <w:t>The findings of Rubie-Davies </w:t>
      </w:r>
      <w:r w:rsidRPr="001725AD">
        <w:rPr>
          <w:rFonts w:ascii="Times New Roman" w:eastAsia="Times New Roman" w:hAnsi="Times New Roman" w:cs="Times New Roman"/>
          <w:i/>
          <w:iCs/>
          <w:color w:val="666666"/>
          <w:sz w:val="24"/>
          <w:szCs w:val="24"/>
          <w:lang w:eastAsia="en-GB"/>
        </w:rPr>
        <w:t>et al.</w:t>
      </w:r>
      <w:r w:rsidRPr="001725AD">
        <w:rPr>
          <w:rFonts w:ascii="Times New Roman" w:eastAsia="Times New Roman" w:hAnsi="Times New Roman" w:cs="Times New Roman"/>
          <w:color w:val="666666"/>
          <w:sz w:val="24"/>
          <w:szCs w:val="24"/>
          <w:lang w:eastAsia="en-GB"/>
        </w:rPr>
        <w:t> (2015) are also in agreement with Ireson and Hallam (2005), whose study supports the benefits of positive teacher-student relationships, suggesting that pupils who feel supported by their teachers are less likely to become alienated and disengaged from their work, claiming that environments that ‘foster a sense of belonging should also promote achievement’ (Ireson and Hallam, 2005, p.298). Muller, Katz and Dance (1999) comment that students report it is important to have teachers who care about them. They want their teachers to be able to believe that they can do good work, and to demand it.</w:t>
      </w:r>
    </w:p>
    <w:p w:rsidR="001725AD" w:rsidRPr="001725AD" w:rsidRDefault="001725AD" w:rsidP="001725AD">
      <w:pPr>
        <w:spacing w:after="100" w:afterAutospacing="1" w:line="240" w:lineRule="auto"/>
        <w:outlineLvl w:val="1"/>
        <w:rPr>
          <w:rFonts w:ascii="Times New Roman" w:eastAsia="Times New Roman" w:hAnsi="Times New Roman" w:cs="Times New Roman"/>
          <w:color w:val="1B2342"/>
          <w:sz w:val="36"/>
          <w:szCs w:val="36"/>
          <w:lang w:eastAsia="en-GB"/>
        </w:rPr>
      </w:pPr>
      <w:r w:rsidRPr="001725AD">
        <w:rPr>
          <w:rFonts w:ascii="Times New Roman" w:eastAsia="Times New Roman" w:hAnsi="Times New Roman" w:cs="Times New Roman"/>
          <w:color w:val="1B2342"/>
          <w:sz w:val="36"/>
          <w:szCs w:val="36"/>
          <w:lang w:eastAsia="en-GB"/>
        </w:rPr>
        <w:t>Impact of feedback and praise on students’ mindset</w:t>
      </w:r>
    </w:p>
    <w:p w:rsidR="001725AD" w:rsidRPr="001725AD" w:rsidRDefault="001725AD" w:rsidP="001725AD">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1725AD">
        <w:rPr>
          <w:rFonts w:ascii="Times New Roman" w:eastAsia="Times New Roman" w:hAnsi="Times New Roman" w:cs="Times New Roman"/>
          <w:color w:val="666666"/>
          <w:sz w:val="24"/>
          <w:szCs w:val="24"/>
          <w:lang w:eastAsia="en-GB"/>
        </w:rPr>
        <w:t>The final aspect of practice in which high expectation teachers differ markedly is through goal setting based on regular, formative evaluation. Providing students with clear, specific feedback about their goals can aid student progress (Rubie-Davies et al, 2015; Hattie, 2009). Hattie (2009) claims that feedback is among ‘the most powerful influences on achievement’, and that to have the most impact, feedback needs to be ‘purposeful, meaningful and compatible with prior knowledge’ as well as relating to ‘specific and clear goals’ (Hattie, 2009, p.178).</w:t>
      </w:r>
    </w:p>
    <w:p w:rsidR="001725AD" w:rsidRPr="001725AD" w:rsidRDefault="001725AD" w:rsidP="001725AD">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1725AD">
        <w:rPr>
          <w:rFonts w:ascii="Times New Roman" w:eastAsia="Times New Roman" w:hAnsi="Times New Roman" w:cs="Times New Roman"/>
          <w:color w:val="666666"/>
          <w:sz w:val="24"/>
          <w:szCs w:val="24"/>
          <w:lang w:eastAsia="en-GB"/>
        </w:rPr>
        <w:t xml:space="preserve">The research warns against directing feedback at the level of ‘self’, and stresses the importance of allowing children to learn from mistakes, suggesting that ‘we need classes that develop the courage to err’. This debate has </w:t>
      </w:r>
      <w:proofErr w:type="spellStart"/>
      <w:r w:rsidRPr="001725AD">
        <w:rPr>
          <w:rFonts w:ascii="Times New Roman" w:eastAsia="Times New Roman" w:hAnsi="Times New Roman" w:cs="Times New Roman"/>
          <w:color w:val="666666"/>
          <w:sz w:val="24"/>
          <w:szCs w:val="24"/>
          <w:lang w:eastAsia="en-GB"/>
        </w:rPr>
        <w:t>particuar</w:t>
      </w:r>
      <w:proofErr w:type="spellEnd"/>
      <w:r w:rsidRPr="001725AD">
        <w:rPr>
          <w:rFonts w:ascii="Times New Roman" w:eastAsia="Times New Roman" w:hAnsi="Times New Roman" w:cs="Times New Roman"/>
          <w:color w:val="666666"/>
          <w:sz w:val="24"/>
          <w:szCs w:val="24"/>
          <w:lang w:eastAsia="en-GB"/>
        </w:rPr>
        <w:t xml:space="preserve"> relevance due to the current popularity (and perhaps the marketisation) of Dweck’s theories of growth-mindset and fixed-mindset, which have received widespread recognition in the English education system.</w:t>
      </w:r>
    </w:p>
    <w:p w:rsidR="001725AD" w:rsidRPr="001725AD" w:rsidRDefault="001725AD" w:rsidP="001725AD">
      <w:pPr>
        <w:spacing w:after="0" w:line="240" w:lineRule="auto"/>
        <w:rPr>
          <w:rFonts w:ascii="Times New Roman" w:eastAsia="Times New Roman" w:hAnsi="Times New Roman" w:cs="Times New Roman"/>
          <w:color w:val="666666"/>
          <w:sz w:val="24"/>
          <w:szCs w:val="24"/>
          <w:lang w:eastAsia="en-GB"/>
        </w:rPr>
      </w:pPr>
      <w:proofErr w:type="gramStart"/>
      <w:r w:rsidRPr="001725AD">
        <w:rPr>
          <w:rFonts w:ascii="Times New Roman" w:eastAsia="Times New Roman" w:hAnsi="Times New Roman" w:cs="Times New Roman"/>
          <w:color w:val="666666"/>
          <w:sz w:val="24"/>
          <w:szCs w:val="24"/>
          <w:lang w:eastAsia="en-GB"/>
        </w:rPr>
        <w:t>Similarly</w:t>
      </w:r>
      <w:proofErr w:type="gramEnd"/>
      <w:r w:rsidRPr="001725AD">
        <w:rPr>
          <w:rFonts w:ascii="Times New Roman" w:eastAsia="Times New Roman" w:hAnsi="Times New Roman" w:cs="Times New Roman"/>
          <w:color w:val="666666"/>
          <w:sz w:val="24"/>
          <w:szCs w:val="24"/>
          <w:lang w:eastAsia="en-GB"/>
        </w:rPr>
        <w:t xml:space="preserve"> to Hattie, </w:t>
      </w:r>
      <w:proofErr w:type="spellStart"/>
      <w:r w:rsidRPr="001725AD">
        <w:rPr>
          <w:rFonts w:ascii="Times New Roman" w:eastAsia="Times New Roman" w:hAnsi="Times New Roman" w:cs="Times New Roman"/>
          <w:color w:val="666666"/>
          <w:sz w:val="24"/>
          <w:szCs w:val="24"/>
          <w:lang w:eastAsia="en-GB"/>
        </w:rPr>
        <w:t>Yeagar</w:t>
      </w:r>
      <w:proofErr w:type="spellEnd"/>
      <w:r w:rsidRPr="001725AD">
        <w:rPr>
          <w:rFonts w:ascii="Times New Roman" w:eastAsia="Times New Roman" w:hAnsi="Times New Roman" w:cs="Times New Roman"/>
          <w:color w:val="666666"/>
          <w:sz w:val="24"/>
          <w:szCs w:val="24"/>
          <w:lang w:eastAsia="en-GB"/>
        </w:rPr>
        <w:t xml:space="preserve"> and Dweck comment on the impact of adult use of praise on students’ mindset. They argue that to promote resilience, students should be praised for their effort, their strategies, their focus or their persistence rather than on their ability and outcomes. They find that ‘focusing more on process rather than ability can put students in a mindset that helps them respond to challenges resiliently’ (</w:t>
      </w:r>
      <w:proofErr w:type="spellStart"/>
      <w:r w:rsidRPr="001725AD">
        <w:rPr>
          <w:rFonts w:ascii="Times New Roman" w:eastAsia="Times New Roman" w:hAnsi="Times New Roman" w:cs="Times New Roman"/>
          <w:color w:val="666666"/>
          <w:sz w:val="24"/>
          <w:szCs w:val="24"/>
          <w:lang w:eastAsia="en-GB"/>
        </w:rPr>
        <w:t>Yeagar</w:t>
      </w:r>
      <w:proofErr w:type="spellEnd"/>
      <w:r w:rsidRPr="001725AD">
        <w:rPr>
          <w:rFonts w:ascii="Times New Roman" w:eastAsia="Times New Roman" w:hAnsi="Times New Roman" w:cs="Times New Roman"/>
          <w:color w:val="666666"/>
          <w:sz w:val="24"/>
          <w:szCs w:val="24"/>
          <w:lang w:eastAsia="en-GB"/>
        </w:rPr>
        <w:t xml:space="preserve"> and Dweck, 2012, p.311).</w:t>
      </w:r>
    </w:p>
    <w:p w:rsidR="001725AD" w:rsidRPr="001725AD" w:rsidRDefault="001725AD" w:rsidP="001725AD">
      <w:pPr>
        <w:spacing w:beforeAutospacing="1" w:after="100" w:afterAutospacing="1" w:line="240" w:lineRule="auto"/>
        <w:rPr>
          <w:rFonts w:ascii="Times New Roman" w:eastAsia="Times New Roman" w:hAnsi="Times New Roman" w:cs="Times New Roman"/>
          <w:color w:val="1B2342"/>
          <w:sz w:val="24"/>
          <w:szCs w:val="24"/>
          <w:lang w:eastAsia="en-GB"/>
        </w:rPr>
      </w:pPr>
      <w:r w:rsidRPr="001725AD">
        <w:rPr>
          <w:rFonts w:ascii="Times New Roman" w:eastAsia="Times New Roman" w:hAnsi="Times New Roman" w:cs="Times New Roman"/>
          <w:color w:val="1B2342"/>
          <w:sz w:val="24"/>
          <w:szCs w:val="24"/>
          <w:lang w:eastAsia="en-GB"/>
        </w:rPr>
        <w:lastRenderedPageBreak/>
        <w:t>Expectations are an unobservable construct, and it is possible that well-meaning attempts to meet the needs of groups of learners in the classroom may actually limit a student’s progress and performance.</w:t>
      </w:r>
    </w:p>
    <w:p w:rsidR="001725AD" w:rsidRPr="001725AD" w:rsidRDefault="001725AD" w:rsidP="001725AD">
      <w:pPr>
        <w:spacing w:after="100" w:afterAutospacing="1" w:line="240" w:lineRule="auto"/>
        <w:outlineLvl w:val="1"/>
        <w:rPr>
          <w:rFonts w:ascii="Times New Roman" w:eastAsia="Times New Roman" w:hAnsi="Times New Roman" w:cs="Times New Roman"/>
          <w:color w:val="1B2342"/>
          <w:sz w:val="36"/>
          <w:szCs w:val="36"/>
          <w:lang w:eastAsia="en-GB"/>
        </w:rPr>
      </w:pPr>
      <w:r w:rsidRPr="001725AD">
        <w:rPr>
          <w:rFonts w:ascii="Times New Roman" w:eastAsia="Times New Roman" w:hAnsi="Times New Roman" w:cs="Times New Roman"/>
          <w:color w:val="1B2342"/>
          <w:sz w:val="36"/>
          <w:szCs w:val="36"/>
          <w:lang w:eastAsia="en-GB"/>
        </w:rPr>
        <w:t>The complexities of a high expectations culture</w:t>
      </w:r>
    </w:p>
    <w:p w:rsidR="001725AD" w:rsidRPr="001725AD" w:rsidRDefault="001725AD" w:rsidP="001725AD">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1725AD">
        <w:rPr>
          <w:rFonts w:ascii="Times New Roman" w:eastAsia="Times New Roman" w:hAnsi="Times New Roman" w:cs="Times New Roman"/>
          <w:color w:val="666666"/>
          <w:sz w:val="24"/>
          <w:szCs w:val="24"/>
          <w:lang w:eastAsia="en-GB"/>
        </w:rPr>
        <w:t xml:space="preserve">The terminology of ‘a culture of high expectations’ is in itself complex and problematic. To gain a richer understanding of it, it may be necessary to define what is meant by ‘high </w:t>
      </w:r>
      <w:proofErr w:type="gramStart"/>
      <w:r w:rsidRPr="001725AD">
        <w:rPr>
          <w:rFonts w:ascii="Times New Roman" w:eastAsia="Times New Roman" w:hAnsi="Times New Roman" w:cs="Times New Roman"/>
          <w:color w:val="666666"/>
          <w:sz w:val="24"/>
          <w:szCs w:val="24"/>
          <w:lang w:eastAsia="en-GB"/>
        </w:rPr>
        <w:t>expectations’</w:t>
      </w:r>
      <w:proofErr w:type="gramEnd"/>
      <w:r w:rsidRPr="001725AD">
        <w:rPr>
          <w:rFonts w:ascii="Times New Roman" w:eastAsia="Times New Roman" w:hAnsi="Times New Roman" w:cs="Times New Roman"/>
          <w:color w:val="666666"/>
          <w:sz w:val="24"/>
          <w:szCs w:val="24"/>
          <w:lang w:eastAsia="en-GB"/>
        </w:rPr>
        <w:t>. Social psychologists (</w:t>
      </w:r>
      <w:proofErr w:type="spellStart"/>
      <w:r w:rsidRPr="001725AD">
        <w:rPr>
          <w:rFonts w:ascii="Times New Roman" w:eastAsia="Times New Roman" w:hAnsi="Times New Roman" w:cs="Times New Roman"/>
          <w:color w:val="666666"/>
          <w:sz w:val="24"/>
          <w:szCs w:val="24"/>
          <w:lang w:eastAsia="en-GB"/>
        </w:rPr>
        <w:t>Correll</w:t>
      </w:r>
      <w:proofErr w:type="spellEnd"/>
      <w:r w:rsidRPr="001725AD">
        <w:rPr>
          <w:rFonts w:ascii="Times New Roman" w:eastAsia="Times New Roman" w:hAnsi="Times New Roman" w:cs="Times New Roman"/>
          <w:color w:val="666666"/>
          <w:sz w:val="24"/>
          <w:szCs w:val="24"/>
          <w:lang w:eastAsia="en-GB"/>
        </w:rPr>
        <w:t xml:space="preserve"> and Ridgeway, 2003) refer to expectation states theory to explain the emergence of status hierarchies in socially important contexts, including the classroom.</w:t>
      </w:r>
    </w:p>
    <w:p w:rsidR="001725AD" w:rsidRPr="001725AD" w:rsidRDefault="001725AD" w:rsidP="001725AD">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1725AD">
        <w:rPr>
          <w:rFonts w:ascii="Times New Roman" w:eastAsia="Times New Roman" w:hAnsi="Times New Roman" w:cs="Times New Roman"/>
          <w:color w:val="666666"/>
          <w:sz w:val="24"/>
          <w:szCs w:val="24"/>
          <w:lang w:eastAsia="en-GB"/>
        </w:rPr>
        <w:t>When members of a group anticipate that a particular individual will make more valuable contributions, they will defer to that individual and give them more opportunities to participate. This can shape behaviour in a self-fulfilling way. Equally, a student with lower performance expectations may have their contributions ignored or poorly evaluated. Therefore, to reduce social inequalities it is imperative that inequitable processes are redressed.</w:t>
      </w:r>
    </w:p>
    <w:p w:rsidR="001725AD" w:rsidRPr="001725AD" w:rsidRDefault="001725AD" w:rsidP="001725AD">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1725AD">
        <w:rPr>
          <w:rFonts w:ascii="Times New Roman" w:eastAsia="Times New Roman" w:hAnsi="Times New Roman" w:cs="Times New Roman"/>
          <w:color w:val="666666"/>
          <w:sz w:val="24"/>
          <w:szCs w:val="24"/>
          <w:lang w:eastAsia="en-GB"/>
        </w:rPr>
        <w:t xml:space="preserve">The political rhetoric of ‘high expectations’ tends to refer to a </w:t>
      </w:r>
      <w:proofErr w:type="gramStart"/>
      <w:r w:rsidRPr="001725AD">
        <w:rPr>
          <w:rFonts w:ascii="Times New Roman" w:eastAsia="Times New Roman" w:hAnsi="Times New Roman" w:cs="Times New Roman"/>
          <w:color w:val="666666"/>
          <w:sz w:val="24"/>
          <w:szCs w:val="24"/>
          <w:lang w:eastAsia="en-GB"/>
        </w:rPr>
        <w:t>more narrow</w:t>
      </w:r>
      <w:proofErr w:type="gramEnd"/>
      <w:r w:rsidRPr="001725AD">
        <w:rPr>
          <w:rFonts w:ascii="Times New Roman" w:eastAsia="Times New Roman" w:hAnsi="Times New Roman" w:cs="Times New Roman"/>
          <w:color w:val="666666"/>
          <w:sz w:val="24"/>
          <w:szCs w:val="24"/>
          <w:lang w:eastAsia="en-GB"/>
        </w:rPr>
        <w:t xml:space="preserve"> definition of the term: one that is directly linked to pupil attainment in standardised assessments’ (DfE, 2012). However, high expectations are not necessarily represented by educational outcomes.</w:t>
      </w:r>
    </w:p>
    <w:p w:rsidR="001725AD" w:rsidRPr="001725AD" w:rsidRDefault="001725AD" w:rsidP="001725AD">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1725AD">
        <w:rPr>
          <w:rFonts w:ascii="Times New Roman" w:eastAsia="Times New Roman" w:hAnsi="Times New Roman" w:cs="Times New Roman"/>
          <w:color w:val="666666"/>
          <w:sz w:val="24"/>
          <w:szCs w:val="24"/>
          <w:lang w:eastAsia="en-GB"/>
        </w:rPr>
        <w:t>Ball uses Boyle’s 2001 newspaper article about the increasingly dominant role of numbers and statistics in our society, to illustrate the impact of this element of education reform: ‘We take our collective pulse 24 hours a day with our use of statistics. We understand life that way, though somehow the more figures we use, the more the great truths seem to slip through our fingers’. (Ball, 2003, p.215).</w:t>
      </w:r>
    </w:p>
    <w:p w:rsidR="001725AD" w:rsidRPr="001725AD" w:rsidRDefault="001725AD" w:rsidP="001725AD">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1725AD">
        <w:rPr>
          <w:rFonts w:ascii="Times New Roman" w:eastAsia="Times New Roman" w:hAnsi="Times New Roman" w:cs="Times New Roman"/>
          <w:color w:val="666666"/>
          <w:sz w:val="24"/>
          <w:szCs w:val="24"/>
          <w:lang w:eastAsia="en-GB"/>
        </w:rPr>
        <w:t>As Rogers and Gunter (2012) explain, ‘detailed data on pupil performance, tracking data and setting targets has become part of the personalised learning discourse’ (Rogers and Gunter, 2012, p.141). Schools are saturated with data, including data based on students’ prior attainment. It is possible that too much focus on this type of data leads to teachers ignoring the nuances of a student as an individual, and prevents teachers from focusing on students’ idiosyncratic needs and requirements. Expectations are an unobservable construct, and it is possible that well-meaning attempts to meet the needs of groups of learners in the classroom (and perhaps to meet the needs of accountability frameworks) may actually limit a student’s progress and performance.</w:t>
      </w:r>
    </w:p>
    <w:p w:rsidR="001725AD" w:rsidRPr="001725AD" w:rsidRDefault="001725AD" w:rsidP="001725AD">
      <w:pPr>
        <w:spacing w:after="0" w:line="240" w:lineRule="auto"/>
        <w:rPr>
          <w:rFonts w:ascii="Times New Roman" w:eastAsia="Times New Roman" w:hAnsi="Times New Roman" w:cs="Times New Roman"/>
          <w:color w:val="666666"/>
          <w:sz w:val="24"/>
          <w:szCs w:val="24"/>
          <w:lang w:eastAsia="en-GB"/>
        </w:rPr>
      </w:pPr>
      <w:r w:rsidRPr="001725AD">
        <w:rPr>
          <w:rFonts w:ascii="Times New Roman" w:eastAsia="Times New Roman" w:hAnsi="Times New Roman" w:cs="Times New Roman"/>
          <w:color w:val="666666"/>
          <w:sz w:val="24"/>
          <w:szCs w:val="24"/>
          <w:lang w:eastAsia="en-GB"/>
        </w:rPr>
        <w:t xml:space="preserve">A further complexity in creating a culture of high expectation for all is the notion of heritability. </w:t>
      </w:r>
      <w:proofErr w:type="spellStart"/>
      <w:r w:rsidRPr="001725AD">
        <w:rPr>
          <w:rFonts w:ascii="Times New Roman" w:eastAsia="Times New Roman" w:hAnsi="Times New Roman" w:cs="Times New Roman"/>
          <w:color w:val="666666"/>
          <w:sz w:val="24"/>
          <w:szCs w:val="24"/>
          <w:lang w:eastAsia="en-GB"/>
        </w:rPr>
        <w:t>Krapohl</w:t>
      </w:r>
      <w:proofErr w:type="spellEnd"/>
      <w:r w:rsidRPr="001725AD">
        <w:rPr>
          <w:rFonts w:ascii="Times New Roman" w:eastAsia="Times New Roman" w:hAnsi="Times New Roman" w:cs="Times New Roman"/>
          <w:color w:val="666666"/>
          <w:sz w:val="24"/>
          <w:szCs w:val="24"/>
          <w:lang w:eastAsia="en-GB"/>
        </w:rPr>
        <w:t> </w:t>
      </w:r>
      <w:r w:rsidRPr="001725AD">
        <w:rPr>
          <w:rFonts w:ascii="Times New Roman" w:eastAsia="Times New Roman" w:hAnsi="Times New Roman" w:cs="Times New Roman"/>
          <w:i/>
          <w:iCs/>
          <w:color w:val="666666"/>
          <w:sz w:val="24"/>
          <w:szCs w:val="24"/>
          <w:lang w:eastAsia="en-GB"/>
        </w:rPr>
        <w:t>et al.</w:t>
      </w:r>
      <w:r w:rsidRPr="001725AD">
        <w:rPr>
          <w:rFonts w:ascii="Times New Roman" w:eastAsia="Times New Roman" w:hAnsi="Times New Roman" w:cs="Times New Roman"/>
          <w:color w:val="666666"/>
          <w:sz w:val="24"/>
          <w:szCs w:val="24"/>
          <w:lang w:eastAsia="en-GB"/>
        </w:rPr>
        <w:t> (2014) find that learning is more difficult for some children. Their study concludes that the high heritability of educational achievement reflects many genetically influenced traits, not only intelligence, but psychological domains such as self-efficacy, personality, well-being and behaviour. Further studies point to links between patterns emerging in early childhood and declining expectations (</w:t>
      </w:r>
      <w:proofErr w:type="spellStart"/>
      <w:r w:rsidRPr="001725AD">
        <w:rPr>
          <w:rFonts w:ascii="Times New Roman" w:eastAsia="Times New Roman" w:hAnsi="Times New Roman" w:cs="Times New Roman"/>
          <w:color w:val="666666"/>
          <w:sz w:val="24"/>
          <w:szCs w:val="24"/>
          <w:lang w:eastAsia="en-GB"/>
        </w:rPr>
        <w:t>Burhans</w:t>
      </w:r>
      <w:proofErr w:type="spellEnd"/>
      <w:r w:rsidRPr="001725AD">
        <w:rPr>
          <w:rFonts w:ascii="Times New Roman" w:eastAsia="Times New Roman" w:hAnsi="Times New Roman" w:cs="Times New Roman"/>
          <w:color w:val="666666"/>
          <w:sz w:val="24"/>
          <w:szCs w:val="24"/>
          <w:lang w:eastAsia="en-GB"/>
        </w:rPr>
        <w:t xml:space="preserve"> and Dweck, 1995; El-Sheikh, Cummings and </w:t>
      </w:r>
      <w:proofErr w:type="spellStart"/>
      <w:r w:rsidRPr="001725AD">
        <w:rPr>
          <w:rFonts w:ascii="Times New Roman" w:eastAsia="Times New Roman" w:hAnsi="Times New Roman" w:cs="Times New Roman"/>
          <w:color w:val="666666"/>
          <w:sz w:val="24"/>
          <w:szCs w:val="24"/>
          <w:lang w:eastAsia="en-GB"/>
        </w:rPr>
        <w:t>Kellar</w:t>
      </w:r>
      <w:proofErr w:type="spellEnd"/>
      <w:r w:rsidRPr="001725AD">
        <w:rPr>
          <w:rFonts w:ascii="Times New Roman" w:eastAsia="Times New Roman" w:hAnsi="Times New Roman" w:cs="Times New Roman"/>
          <w:color w:val="666666"/>
          <w:sz w:val="24"/>
          <w:szCs w:val="24"/>
          <w:lang w:eastAsia="en-GB"/>
        </w:rPr>
        <w:t>, 2007; Evans </w:t>
      </w:r>
      <w:r w:rsidRPr="001725AD">
        <w:rPr>
          <w:rFonts w:ascii="Times New Roman" w:eastAsia="Times New Roman" w:hAnsi="Times New Roman" w:cs="Times New Roman"/>
          <w:i/>
          <w:iCs/>
          <w:color w:val="666666"/>
          <w:sz w:val="24"/>
          <w:szCs w:val="24"/>
          <w:lang w:eastAsia="en-GB"/>
        </w:rPr>
        <w:t>et al.</w:t>
      </w:r>
      <w:r w:rsidRPr="001725AD">
        <w:rPr>
          <w:rFonts w:ascii="Times New Roman" w:eastAsia="Times New Roman" w:hAnsi="Times New Roman" w:cs="Times New Roman"/>
          <w:color w:val="666666"/>
          <w:sz w:val="24"/>
          <w:szCs w:val="24"/>
          <w:lang w:eastAsia="en-GB"/>
        </w:rPr>
        <w:t>, 2005). Although schools cannot entirely compensate for these factors, any opportunity to explicitly raise expectations can be seen as a moral imperative.</w:t>
      </w:r>
    </w:p>
    <w:p w:rsidR="00761CCE" w:rsidRDefault="00761CCE"/>
    <w:sectPr w:rsidR="00761C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7D4484"/>
    <w:multiLevelType w:val="multilevel"/>
    <w:tmpl w:val="654C8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5AD"/>
    <w:rsid w:val="001725AD"/>
    <w:rsid w:val="00761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48C10"/>
  <w15:chartTrackingRefBased/>
  <w15:docId w15:val="{4031A685-4BE0-47D1-9410-E817092D0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390538">
      <w:bodyDiv w:val="1"/>
      <w:marLeft w:val="0"/>
      <w:marRight w:val="0"/>
      <w:marTop w:val="0"/>
      <w:marBottom w:val="0"/>
      <w:divBdr>
        <w:top w:val="none" w:sz="0" w:space="0" w:color="auto"/>
        <w:left w:val="none" w:sz="0" w:space="0" w:color="auto"/>
        <w:bottom w:val="none" w:sz="0" w:space="0" w:color="auto"/>
        <w:right w:val="none" w:sz="0" w:space="0" w:color="auto"/>
      </w:divBdr>
      <w:divsChild>
        <w:div w:id="2104910977">
          <w:marLeft w:val="0"/>
          <w:marRight w:val="0"/>
          <w:marTop w:val="0"/>
          <w:marBottom w:val="0"/>
          <w:divBdr>
            <w:top w:val="none" w:sz="0" w:space="0" w:color="auto"/>
            <w:left w:val="none" w:sz="0" w:space="0" w:color="auto"/>
            <w:bottom w:val="none" w:sz="0" w:space="0" w:color="auto"/>
            <w:right w:val="none" w:sz="0" w:space="0" w:color="auto"/>
          </w:divBdr>
          <w:divsChild>
            <w:div w:id="2443069">
              <w:marLeft w:val="0"/>
              <w:marRight w:val="0"/>
              <w:marTop w:val="0"/>
              <w:marBottom w:val="0"/>
              <w:divBdr>
                <w:top w:val="none" w:sz="0" w:space="0" w:color="auto"/>
                <w:left w:val="none" w:sz="0" w:space="0" w:color="auto"/>
                <w:bottom w:val="none" w:sz="0" w:space="0" w:color="auto"/>
                <w:right w:val="none" w:sz="0" w:space="0" w:color="auto"/>
              </w:divBdr>
              <w:divsChild>
                <w:div w:id="721363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654310">
          <w:marLeft w:val="0"/>
          <w:marRight w:val="0"/>
          <w:marTop w:val="0"/>
          <w:marBottom w:val="0"/>
          <w:divBdr>
            <w:top w:val="none" w:sz="0" w:space="0" w:color="auto"/>
            <w:left w:val="none" w:sz="0" w:space="0" w:color="auto"/>
            <w:bottom w:val="none" w:sz="0" w:space="0" w:color="auto"/>
            <w:right w:val="none" w:sz="0" w:space="0" w:color="auto"/>
          </w:divBdr>
          <w:divsChild>
            <w:div w:id="1356153209">
              <w:marLeft w:val="0"/>
              <w:marRight w:val="0"/>
              <w:marTop w:val="0"/>
              <w:marBottom w:val="0"/>
              <w:divBdr>
                <w:top w:val="none" w:sz="0" w:space="0" w:color="auto"/>
                <w:left w:val="none" w:sz="0" w:space="0" w:color="auto"/>
                <w:bottom w:val="none" w:sz="0" w:space="0" w:color="auto"/>
                <w:right w:val="none" w:sz="0" w:space="0" w:color="auto"/>
              </w:divBdr>
            </w:div>
            <w:div w:id="846208644">
              <w:marLeft w:val="1412"/>
              <w:marRight w:val="0"/>
              <w:marTop w:val="0"/>
              <w:marBottom w:val="0"/>
              <w:divBdr>
                <w:top w:val="none" w:sz="0" w:space="0" w:color="auto"/>
                <w:left w:val="none" w:sz="0" w:space="0" w:color="auto"/>
                <w:bottom w:val="none" w:sz="0" w:space="0" w:color="auto"/>
                <w:right w:val="none" w:sz="0" w:space="0" w:color="auto"/>
              </w:divBdr>
              <w:divsChild>
                <w:div w:id="1477256359">
                  <w:marLeft w:val="0"/>
                  <w:marRight w:val="0"/>
                  <w:marTop w:val="0"/>
                  <w:marBottom w:val="0"/>
                  <w:divBdr>
                    <w:top w:val="none" w:sz="0" w:space="0" w:color="auto"/>
                    <w:left w:val="none" w:sz="0" w:space="0" w:color="auto"/>
                    <w:bottom w:val="none" w:sz="0" w:space="0" w:color="auto"/>
                    <w:right w:val="none" w:sz="0" w:space="0" w:color="auto"/>
                  </w:divBdr>
                  <w:divsChild>
                    <w:div w:id="1387678404">
                      <w:marLeft w:val="0"/>
                      <w:marRight w:val="0"/>
                      <w:marTop w:val="0"/>
                      <w:marBottom w:val="0"/>
                      <w:divBdr>
                        <w:top w:val="none" w:sz="0" w:space="0" w:color="5EB3E4"/>
                        <w:left w:val="none" w:sz="0" w:space="0" w:color="5EB3E4"/>
                        <w:bottom w:val="single" w:sz="6" w:space="0" w:color="5EB3E4"/>
                        <w:right w:val="none" w:sz="0" w:space="0" w:color="5EB3E4"/>
                      </w:divBdr>
                    </w:div>
                    <w:div w:id="1612396125">
                      <w:marLeft w:val="0"/>
                      <w:marRight w:val="0"/>
                      <w:marTop w:val="0"/>
                      <w:marBottom w:val="0"/>
                      <w:divBdr>
                        <w:top w:val="none" w:sz="0" w:space="0" w:color="auto"/>
                        <w:left w:val="none" w:sz="0" w:space="0" w:color="auto"/>
                        <w:bottom w:val="none" w:sz="0" w:space="0" w:color="auto"/>
                        <w:right w:val="none" w:sz="0" w:space="0" w:color="auto"/>
                      </w:divBdr>
                    </w:div>
                    <w:div w:id="77791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799403">
          <w:marLeft w:val="0"/>
          <w:marRight w:val="0"/>
          <w:marTop w:val="0"/>
          <w:marBottom w:val="0"/>
          <w:divBdr>
            <w:top w:val="none" w:sz="0" w:space="0" w:color="auto"/>
            <w:left w:val="none" w:sz="0" w:space="0" w:color="auto"/>
            <w:bottom w:val="none" w:sz="0" w:space="0" w:color="auto"/>
            <w:right w:val="none" w:sz="0" w:space="0" w:color="auto"/>
          </w:divBdr>
          <w:divsChild>
            <w:div w:id="64301346">
              <w:marLeft w:val="2823"/>
              <w:marRight w:val="0"/>
              <w:marTop w:val="0"/>
              <w:marBottom w:val="0"/>
              <w:divBdr>
                <w:top w:val="none" w:sz="0" w:space="0" w:color="auto"/>
                <w:left w:val="none" w:sz="0" w:space="0" w:color="auto"/>
                <w:bottom w:val="none" w:sz="0" w:space="0" w:color="auto"/>
                <w:right w:val="none" w:sz="0" w:space="0" w:color="auto"/>
              </w:divBdr>
              <w:divsChild>
                <w:div w:id="1353265589">
                  <w:marLeft w:val="0"/>
                  <w:marRight w:val="0"/>
                  <w:marTop w:val="0"/>
                  <w:marBottom w:val="0"/>
                  <w:divBdr>
                    <w:top w:val="single" w:sz="6" w:space="0" w:color="DEDEDE"/>
                    <w:left w:val="none" w:sz="0" w:space="0" w:color="auto"/>
                    <w:bottom w:val="single" w:sz="6" w:space="0" w:color="DEDEDE"/>
                    <w:right w:val="none" w:sz="0" w:space="0" w:color="auto"/>
                  </w:divBdr>
                </w:div>
              </w:divsChild>
            </w:div>
          </w:divsChild>
        </w:div>
        <w:div w:id="2075857205">
          <w:marLeft w:val="0"/>
          <w:marRight w:val="0"/>
          <w:marTop w:val="0"/>
          <w:marBottom w:val="0"/>
          <w:divBdr>
            <w:top w:val="none" w:sz="0" w:space="0" w:color="auto"/>
            <w:left w:val="none" w:sz="0" w:space="0" w:color="auto"/>
            <w:bottom w:val="none" w:sz="0" w:space="0" w:color="auto"/>
            <w:right w:val="none" w:sz="0" w:space="0" w:color="auto"/>
          </w:divBdr>
          <w:divsChild>
            <w:div w:id="340282136">
              <w:marLeft w:val="0"/>
              <w:marRight w:val="0"/>
              <w:marTop w:val="0"/>
              <w:marBottom w:val="0"/>
              <w:divBdr>
                <w:top w:val="none" w:sz="0" w:space="0" w:color="auto"/>
                <w:left w:val="none" w:sz="0" w:space="0" w:color="auto"/>
                <w:bottom w:val="none" w:sz="0" w:space="0" w:color="auto"/>
                <w:right w:val="none" w:sz="0" w:space="0" w:color="auto"/>
              </w:divBdr>
              <w:divsChild>
                <w:div w:id="367217046">
                  <w:marLeft w:val="2823"/>
                  <w:marRight w:val="0"/>
                  <w:marTop w:val="0"/>
                  <w:marBottom w:val="0"/>
                  <w:divBdr>
                    <w:top w:val="none" w:sz="0" w:space="0" w:color="auto"/>
                    <w:left w:val="none" w:sz="0" w:space="0" w:color="auto"/>
                    <w:bottom w:val="none" w:sz="0" w:space="0" w:color="auto"/>
                    <w:right w:val="none" w:sz="0" w:space="0" w:color="auto"/>
                  </w:divBdr>
                  <w:divsChild>
                    <w:div w:id="9040298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305477475">
          <w:marLeft w:val="0"/>
          <w:marRight w:val="0"/>
          <w:marTop w:val="0"/>
          <w:marBottom w:val="0"/>
          <w:divBdr>
            <w:top w:val="none" w:sz="0" w:space="0" w:color="auto"/>
            <w:left w:val="none" w:sz="0" w:space="0" w:color="auto"/>
            <w:bottom w:val="none" w:sz="0" w:space="0" w:color="auto"/>
            <w:right w:val="none" w:sz="0" w:space="0" w:color="auto"/>
          </w:divBdr>
          <w:divsChild>
            <w:div w:id="556091928">
              <w:marLeft w:val="2823"/>
              <w:marRight w:val="0"/>
              <w:marTop w:val="0"/>
              <w:marBottom w:val="0"/>
              <w:divBdr>
                <w:top w:val="none" w:sz="0" w:space="0" w:color="auto"/>
                <w:left w:val="none" w:sz="0" w:space="0" w:color="auto"/>
                <w:bottom w:val="none" w:sz="0" w:space="0" w:color="auto"/>
                <w:right w:val="none" w:sz="0" w:space="0" w:color="auto"/>
              </w:divBdr>
            </w:div>
          </w:divsChild>
        </w:div>
        <w:div w:id="1895769699">
          <w:marLeft w:val="0"/>
          <w:marRight w:val="0"/>
          <w:marTop w:val="0"/>
          <w:marBottom w:val="0"/>
          <w:divBdr>
            <w:top w:val="none" w:sz="0" w:space="0" w:color="auto"/>
            <w:left w:val="none" w:sz="0" w:space="0" w:color="auto"/>
            <w:bottom w:val="none" w:sz="0" w:space="0" w:color="auto"/>
            <w:right w:val="none" w:sz="0" w:space="0" w:color="auto"/>
          </w:divBdr>
          <w:divsChild>
            <w:div w:id="1159229387">
              <w:marLeft w:val="2823"/>
              <w:marRight w:val="0"/>
              <w:marTop w:val="0"/>
              <w:marBottom w:val="0"/>
              <w:divBdr>
                <w:top w:val="none" w:sz="0" w:space="0" w:color="auto"/>
                <w:left w:val="none" w:sz="0" w:space="0" w:color="auto"/>
                <w:bottom w:val="none" w:sz="0" w:space="0" w:color="auto"/>
                <w:right w:val="none" w:sz="0" w:space="0" w:color="auto"/>
              </w:divBdr>
              <w:divsChild>
                <w:div w:id="16398043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254315525">
          <w:marLeft w:val="0"/>
          <w:marRight w:val="0"/>
          <w:marTop w:val="0"/>
          <w:marBottom w:val="0"/>
          <w:divBdr>
            <w:top w:val="none" w:sz="0" w:space="0" w:color="auto"/>
            <w:left w:val="none" w:sz="0" w:space="0" w:color="auto"/>
            <w:bottom w:val="none" w:sz="0" w:space="0" w:color="auto"/>
            <w:right w:val="none" w:sz="0" w:space="0" w:color="auto"/>
          </w:divBdr>
          <w:divsChild>
            <w:div w:id="671837277">
              <w:marLeft w:val="2823"/>
              <w:marRight w:val="0"/>
              <w:marTop w:val="0"/>
              <w:marBottom w:val="0"/>
              <w:divBdr>
                <w:top w:val="none" w:sz="0" w:space="0" w:color="auto"/>
                <w:left w:val="none" w:sz="0" w:space="0" w:color="auto"/>
                <w:bottom w:val="none" w:sz="0" w:space="0" w:color="auto"/>
                <w:right w:val="none" w:sz="0" w:space="0" w:color="auto"/>
              </w:divBdr>
            </w:div>
          </w:divsChild>
        </w:div>
        <w:div w:id="588462901">
          <w:marLeft w:val="0"/>
          <w:marRight w:val="0"/>
          <w:marTop w:val="0"/>
          <w:marBottom w:val="0"/>
          <w:divBdr>
            <w:top w:val="none" w:sz="0" w:space="0" w:color="auto"/>
            <w:left w:val="none" w:sz="0" w:space="0" w:color="auto"/>
            <w:bottom w:val="none" w:sz="0" w:space="0" w:color="auto"/>
            <w:right w:val="none" w:sz="0" w:space="0" w:color="auto"/>
          </w:divBdr>
          <w:divsChild>
            <w:div w:id="283580592">
              <w:marLeft w:val="2823"/>
              <w:marRight w:val="0"/>
              <w:marTop w:val="0"/>
              <w:marBottom w:val="0"/>
              <w:divBdr>
                <w:top w:val="none" w:sz="0" w:space="0" w:color="auto"/>
                <w:left w:val="none" w:sz="0" w:space="0" w:color="auto"/>
                <w:bottom w:val="none" w:sz="0" w:space="0" w:color="auto"/>
                <w:right w:val="none" w:sz="0" w:space="0" w:color="auto"/>
              </w:divBdr>
            </w:div>
          </w:divsChild>
        </w:div>
        <w:div w:id="645399260">
          <w:marLeft w:val="0"/>
          <w:marRight w:val="0"/>
          <w:marTop w:val="0"/>
          <w:marBottom w:val="0"/>
          <w:divBdr>
            <w:top w:val="none" w:sz="0" w:space="0" w:color="auto"/>
            <w:left w:val="none" w:sz="0" w:space="0" w:color="auto"/>
            <w:bottom w:val="none" w:sz="0" w:space="0" w:color="auto"/>
            <w:right w:val="none" w:sz="0" w:space="0" w:color="auto"/>
          </w:divBdr>
          <w:divsChild>
            <w:div w:id="1430000846">
              <w:marLeft w:val="2823"/>
              <w:marRight w:val="0"/>
              <w:marTop w:val="0"/>
              <w:marBottom w:val="0"/>
              <w:divBdr>
                <w:top w:val="none" w:sz="0" w:space="0" w:color="auto"/>
                <w:left w:val="none" w:sz="0" w:space="0" w:color="auto"/>
                <w:bottom w:val="none" w:sz="0" w:space="0" w:color="auto"/>
                <w:right w:val="none" w:sz="0" w:space="0" w:color="auto"/>
              </w:divBdr>
              <w:divsChild>
                <w:div w:id="18829809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73049011">
          <w:marLeft w:val="0"/>
          <w:marRight w:val="0"/>
          <w:marTop w:val="0"/>
          <w:marBottom w:val="0"/>
          <w:divBdr>
            <w:top w:val="none" w:sz="0" w:space="0" w:color="auto"/>
            <w:left w:val="none" w:sz="0" w:space="0" w:color="auto"/>
            <w:bottom w:val="none" w:sz="0" w:space="0" w:color="auto"/>
            <w:right w:val="none" w:sz="0" w:space="0" w:color="auto"/>
          </w:divBdr>
          <w:divsChild>
            <w:div w:id="950551716">
              <w:marLeft w:val="2823"/>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ink.springer.com/article/10.1007/BF0232221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1401</Words>
  <Characters>7988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Stubbs</dc:creator>
  <cp:keywords/>
  <dc:description/>
  <cp:lastModifiedBy>C Stubbs</cp:lastModifiedBy>
  <cp:revision>1</cp:revision>
  <dcterms:created xsi:type="dcterms:W3CDTF">2019-12-30T11:43:00Z</dcterms:created>
  <dcterms:modified xsi:type="dcterms:W3CDTF">2019-12-30T11:44:00Z</dcterms:modified>
</cp:coreProperties>
</file>